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EEF" w:rsidRPr="00C40939" w:rsidRDefault="00421EEF" w:rsidP="00C40939">
      <w:pPr>
        <w:spacing w:line="240" w:lineRule="auto"/>
        <w:jc w:val="center"/>
        <w:rPr>
          <w:b/>
          <w:bCs/>
          <w:szCs w:val="24"/>
        </w:rPr>
      </w:pPr>
      <w:bookmarkStart w:id="0" w:name="_GoBack"/>
      <w:bookmarkEnd w:id="0"/>
      <w:r w:rsidRPr="00C40939">
        <w:rPr>
          <w:b/>
          <w:bCs/>
          <w:szCs w:val="24"/>
        </w:rPr>
        <w:t xml:space="preserve">City and </w:t>
      </w:r>
      <w:smartTag w:uri="urn:schemas-microsoft-com:office:smarttags" w:element="place">
        <w:smartTag w:uri="urn:schemas-microsoft-com:office:smarttags" w:element="PlaceType">
          <w:r w:rsidRPr="00C40939">
            <w:rPr>
              <w:b/>
              <w:bCs/>
              <w:szCs w:val="24"/>
            </w:rPr>
            <w:t>County</w:t>
          </w:r>
        </w:smartTag>
        <w:r w:rsidRPr="00C40939">
          <w:rPr>
            <w:b/>
            <w:bCs/>
            <w:szCs w:val="24"/>
          </w:rPr>
          <w:t xml:space="preserve"> of </w:t>
        </w:r>
        <w:smartTag w:uri="urn:schemas-microsoft-com:office:smarttags" w:element="PlaceName">
          <w:r w:rsidRPr="00C40939">
            <w:rPr>
              <w:b/>
              <w:bCs/>
              <w:szCs w:val="24"/>
            </w:rPr>
            <w:t>San Francisco</w:t>
          </w:r>
        </w:smartTag>
      </w:smartTag>
    </w:p>
    <w:p w:rsidR="00421EEF" w:rsidRPr="00C40939" w:rsidRDefault="00421EEF" w:rsidP="00C40939">
      <w:pPr>
        <w:spacing w:line="240" w:lineRule="auto"/>
        <w:jc w:val="center"/>
        <w:rPr>
          <w:b/>
          <w:bCs/>
          <w:szCs w:val="24"/>
        </w:rPr>
      </w:pPr>
      <w:r w:rsidRPr="00C40939">
        <w:rPr>
          <w:b/>
          <w:bCs/>
          <w:szCs w:val="24"/>
        </w:rPr>
        <w:t>Office of Contract Administration</w:t>
      </w:r>
    </w:p>
    <w:p w:rsidR="00421EEF" w:rsidRPr="00C40939" w:rsidRDefault="00421EEF" w:rsidP="00C40939">
      <w:pPr>
        <w:spacing w:line="240" w:lineRule="auto"/>
        <w:jc w:val="center"/>
        <w:rPr>
          <w:b/>
          <w:bCs/>
          <w:szCs w:val="24"/>
        </w:rPr>
      </w:pPr>
      <w:r w:rsidRPr="00C40939">
        <w:rPr>
          <w:b/>
          <w:bCs/>
          <w:szCs w:val="24"/>
        </w:rPr>
        <w:t>Purchasing Division</w:t>
      </w:r>
    </w:p>
    <w:p w:rsidR="00421EEF" w:rsidRPr="00C40939" w:rsidRDefault="00421EEF" w:rsidP="00C40939">
      <w:pPr>
        <w:spacing w:line="240" w:lineRule="auto"/>
        <w:jc w:val="center"/>
        <w:rPr>
          <w:b/>
          <w:bCs/>
          <w:szCs w:val="24"/>
        </w:rPr>
      </w:pPr>
      <w:r w:rsidRPr="00C40939">
        <w:rPr>
          <w:b/>
          <w:bCs/>
          <w:szCs w:val="24"/>
        </w:rPr>
        <w:t>City Hall, Room 430</w:t>
      </w:r>
    </w:p>
    <w:p w:rsidR="00421EEF" w:rsidRPr="00C40939" w:rsidRDefault="00421EEF" w:rsidP="00C40939">
      <w:pPr>
        <w:spacing w:line="240" w:lineRule="auto"/>
        <w:jc w:val="center"/>
        <w:rPr>
          <w:b/>
          <w:bCs/>
          <w:szCs w:val="24"/>
        </w:rPr>
      </w:pPr>
      <w:smartTag w:uri="urn:schemas-microsoft-com:office:smarttags" w:element="Street">
        <w:smartTag w:uri="urn:schemas-microsoft-com:office:smarttags" w:element="address">
          <w:r w:rsidRPr="00C40939">
            <w:rPr>
              <w:b/>
              <w:bCs/>
              <w:szCs w:val="24"/>
            </w:rPr>
            <w:t>1 Dr. Carlton B. Goodlett Place</w:t>
          </w:r>
        </w:smartTag>
      </w:smartTag>
    </w:p>
    <w:p w:rsidR="00421EEF" w:rsidRDefault="00421EEF" w:rsidP="00C40939">
      <w:pPr>
        <w:spacing w:line="240" w:lineRule="auto"/>
        <w:jc w:val="center"/>
        <w:rPr>
          <w:b/>
          <w:bCs/>
          <w:szCs w:val="24"/>
        </w:rPr>
      </w:pPr>
      <w:smartTag w:uri="urn:schemas-microsoft-com:office:smarttags" w:element="place">
        <w:smartTag w:uri="urn:schemas-microsoft-com:office:smarttags" w:element="City">
          <w:r w:rsidRPr="00C40939">
            <w:rPr>
              <w:b/>
              <w:bCs/>
              <w:szCs w:val="24"/>
            </w:rPr>
            <w:t>San Francisco</w:t>
          </w:r>
        </w:smartTag>
        <w:r w:rsidRPr="00C40939">
          <w:rPr>
            <w:b/>
            <w:bCs/>
            <w:szCs w:val="24"/>
          </w:rPr>
          <w:t xml:space="preserve">, </w:t>
        </w:r>
        <w:smartTag w:uri="urn:schemas-microsoft-com:office:smarttags" w:element="State">
          <w:r w:rsidRPr="00C40939">
            <w:rPr>
              <w:b/>
              <w:bCs/>
              <w:szCs w:val="24"/>
            </w:rPr>
            <w:t>California</w:t>
          </w:r>
        </w:smartTag>
        <w:r w:rsidRPr="00C40939">
          <w:rPr>
            <w:b/>
            <w:bCs/>
            <w:szCs w:val="24"/>
          </w:rPr>
          <w:t xml:space="preserve"> </w:t>
        </w:r>
        <w:smartTag w:uri="urn:schemas-microsoft-com:office:smarttags" w:element="PostalCode">
          <w:r w:rsidRPr="00C40939">
            <w:rPr>
              <w:b/>
              <w:bCs/>
              <w:szCs w:val="24"/>
            </w:rPr>
            <w:t>94102-4685</w:t>
          </w:r>
        </w:smartTag>
      </w:smartTag>
    </w:p>
    <w:p w:rsidR="001C5C45" w:rsidRDefault="001C5C45" w:rsidP="005809D4">
      <w:pPr>
        <w:spacing w:line="240" w:lineRule="auto"/>
        <w:rPr>
          <w:b/>
          <w:bCs/>
          <w:szCs w:val="24"/>
        </w:rPr>
      </w:pPr>
    </w:p>
    <w:p w:rsidR="005809D4" w:rsidRDefault="005809D4" w:rsidP="005809D4">
      <w:pPr>
        <w:spacing w:line="240" w:lineRule="auto"/>
        <w:rPr>
          <w:b/>
          <w:bCs/>
          <w:szCs w:val="24"/>
        </w:rPr>
      </w:pPr>
    </w:p>
    <w:p w:rsidR="00664608" w:rsidRPr="00C40939" w:rsidRDefault="00421EEF" w:rsidP="00C40939">
      <w:pPr>
        <w:spacing w:line="240" w:lineRule="auto"/>
        <w:jc w:val="center"/>
        <w:rPr>
          <w:b/>
          <w:bCs/>
          <w:szCs w:val="24"/>
        </w:rPr>
      </w:pPr>
      <w:r w:rsidRPr="00C40939">
        <w:rPr>
          <w:b/>
          <w:bCs/>
          <w:szCs w:val="24"/>
        </w:rPr>
        <w:t>Equipment Maintenance Attachment</w:t>
      </w:r>
    </w:p>
    <w:p w:rsidR="00664608" w:rsidRPr="00C40939" w:rsidRDefault="00664608" w:rsidP="00C40939">
      <w:pPr>
        <w:spacing w:line="240" w:lineRule="auto"/>
        <w:jc w:val="center"/>
        <w:rPr>
          <w:szCs w:val="24"/>
        </w:rPr>
      </w:pPr>
    </w:p>
    <w:p w:rsidR="00664608" w:rsidRPr="00C40939" w:rsidRDefault="00664608" w:rsidP="00C40939">
      <w:pPr>
        <w:spacing w:line="240" w:lineRule="auto"/>
        <w:jc w:val="center"/>
        <w:rPr>
          <w:szCs w:val="24"/>
        </w:rPr>
      </w:pPr>
    </w:p>
    <w:p w:rsidR="00421EEF" w:rsidRPr="00C40939" w:rsidRDefault="00421EEF" w:rsidP="00C40939">
      <w:pPr>
        <w:spacing w:line="240" w:lineRule="auto"/>
        <w:rPr>
          <w:szCs w:val="24"/>
        </w:rPr>
      </w:pPr>
      <w:r w:rsidRPr="00C40939">
        <w:rPr>
          <w:szCs w:val="24"/>
        </w:rPr>
        <w:t>This form is an attachment to the Agreement between the City and County of San Francisco (“City”) and _____________________________ (“Contractor”), dated __________________.  The Terms and conditions of this attachment are referenced in and incorporated into the Agreement between the City and Contractor.</w:t>
      </w:r>
    </w:p>
    <w:p w:rsidR="00421EEF" w:rsidRPr="00C40939" w:rsidRDefault="00421EEF" w:rsidP="00C40939">
      <w:pPr>
        <w:spacing w:line="240" w:lineRule="auto"/>
        <w:rPr>
          <w:szCs w:val="24"/>
        </w:rPr>
      </w:pPr>
    </w:p>
    <w:p w:rsidR="00FF14C5" w:rsidRPr="00C40939" w:rsidRDefault="00FF14C5" w:rsidP="00C40939">
      <w:pPr>
        <w:spacing w:line="240" w:lineRule="auto"/>
        <w:rPr>
          <w:b/>
          <w:color w:val="008000"/>
          <w:szCs w:val="24"/>
        </w:rPr>
      </w:pPr>
      <w:r w:rsidRPr="00C40939">
        <w:rPr>
          <w:b/>
          <w:color w:val="008000"/>
          <w:szCs w:val="24"/>
        </w:rPr>
        <w:sym w:font="Wingdings 3" w:char="F096"/>
      </w:r>
      <w:r w:rsidRPr="00C40939">
        <w:rPr>
          <w:b/>
          <w:color w:val="008000"/>
          <w:szCs w:val="24"/>
        </w:rPr>
        <w:t>Delete the recital paragraph if this contract falls under an exception to the RFP rule, such as if this contract is a sole source contract or it is for an amount less than $</w:t>
      </w:r>
      <w:r w:rsidR="00476FE7">
        <w:rPr>
          <w:b/>
          <w:color w:val="008000"/>
          <w:szCs w:val="24"/>
        </w:rPr>
        <w:t>1</w:t>
      </w:r>
      <w:r w:rsidR="00BC7922">
        <w:rPr>
          <w:b/>
          <w:color w:val="008000"/>
          <w:szCs w:val="24"/>
        </w:rPr>
        <w:t>1</w:t>
      </w:r>
      <w:r w:rsidR="00476FE7">
        <w:rPr>
          <w:b/>
          <w:color w:val="008000"/>
          <w:szCs w:val="24"/>
        </w:rPr>
        <w:t>0</w:t>
      </w:r>
      <w:r w:rsidRPr="00C40939">
        <w:rPr>
          <w:b/>
          <w:color w:val="008000"/>
          <w:szCs w:val="24"/>
        </w:rPr>
        <w:t>,000</w:t>
      </w:r>
      <w:r w:rsidR="00476FE7">
        <w:rPr>
          <w:b/>
          <w:color w:val="008000"/>
          <w:szCs w:val="24"/>
        </w:rPr>
        <w:t>.</w:t>
      </w:r>
    </w:p>
    <w:p w:rsidR="00FF14C5" w:rsidRPr="00C40939" w:rsidRDefault="00FF14C5" w:rsidP="00C40939">
      <w:pPr>
        <w:pStyle w:val="BodyText"/>
      </w:pPr>
      <w:r w:rsidRPr="00C40939">
        <w:t>WHEREAS, a Request for Proposal (“RFP”) was issued on [insert date], and City selected Contractor as the highest qualified scorer pursuant to the RFP;</w:t>
      </w:r>
    </w:p>
    <w:p w:rsidR="00FF14C5" w:rsidRPr="00C40939" w:rsidRDefault="00FF14C5" w:rsidP="00C40939">
      <w:pPr>
        <w:pStyle w:val="BodyText"/>
      </w:pPr>
      <w:r w:rsidRPr="00C40939">
        <w:t>NOW, THEREFORE, City and Contractor agree as follows:</w:t>
      </w:r>
    </w:p>
    <w:p w:rsidR="00FF14C5" w:rsidRPr="00C40939" w:rsidRDefault="00FF14C5" w:rsidP="00C40939">
      <w:pPr>
        <w:pStyle w:val="Level3"/>
        <w:tabs>
          <w:tab w:val="left" w:pos="720"/>
        </w:tabs>
        <w:spacing w:line="240" w:lineRule="auto"/>
        <w:ind w:left="0" w:firstLine="0"/>
        <w:rPr>
          <w:szCs w:val="24"/>
        </w:rPr>
      </w:pPr>
      <w:r w:rsidRPr="00C40939">
        <w:rPr>
          <w:b/>
          <w:szCs w:val="24"/>
        </w:rPr>
        <w:t>Certification of Funds; Budget and Fiscal Provisions; Termination in the Event of Non Appropriation.</w:t>
      </w:r>
      <w:r w:rsidRPr="00C40939">
        <w:rPr>
          <w:szCs w:val="24"/>
        </w:rPr>
        <w:t xml:space="preserve">  This Agreement is subject to the budget and fiscal provisions of the City's Charter.  Charges will accrue only after prior written authorization certified by the City's Controller, and any amount of the City's obligation hereunder shall not at any time exceed the amount certified for the purpose and period stated in such advance authorization.  This Agreement will terminate without penalty, liability or expense of any kind to City at the end of any fiscal year in the event funds are not appropriated for the next succeeding fiscal year.  If funds are appropriated for a portion of the fiscal year, this Agreement will terminate, without penalty, liability or expense of any kind at the end of the term for which funds are appropriated.</w:t>
      </w:r>
    </w:p>
    <w:p w:rsidR="00FF14C5" w:rsidRPr="00C40939" w:rsidRDefault="00FF14C5" w:rsidP="00C40939">
      <w:pPr>
        <w:pStyle w:val="BodyText"/>
        <w:spacing w:line="240" w:lineRule="auto"/>
        <w:rPr>
          <w:szCs w:val="24"/>
        </w:rPr>
      </w:pPr>
      <w:r w:rsidRPr="00C40939">
        <w:rPr>
          <w:szCs w:val="24"/>
        </w:rPr>
        <w:t>This Section shall control against any and all other provisions of this Agreement.</w:t>
      </w:r>
    </w:p>
    <w:p w:rsidR="00FF14C5" w:rsidRPr="00C40939" w:rsidRDefault="00FF14C5" w:rsidP="00C40939">
      <w:pPr>
        <w:pStyle w:val="Level3"/>
        <w:tabs>
          <w:tab w:val="left" w:pos="720"/>
        </w:tabs>
        <w:spacing w:line="240" w:lineRule="auto"/>
        <w:ind w:left="0" w:firstLine="0"/>
        <w:rPr>
          <w:szCs w:val="24"/>
        </w:rPr>
      </w:pPr>
      <w:r w:rsidRPr="00C40939">
        <w:rPr>
          <w:b/>
          <w:szCs w:val="24"/>
        </w:rPr>
        <w:t>Term of the Agreement.</w:t>
      </w:r>
      <w:r w:rsidRPr="00C40939">
        <w:rPr>
          <w:szCs w:val="24"/>
        </w:rPr>
        <w:t xml:space="preserve">  Subject to Section 1, the term of this Agreement shall be from </w:t>
      </w:r>
      <w:r w:rsidRPr="00C40939">
        <w:rPr>
          <w:b/>
          <w:color w:val="008000"/>
          <w:szCs w:val="24"/>
        </w:rPr>
        <w:t xml:space="preserve">[insert beginning date] </w:t>
      </w:r>
      <w:r w:rsidRPr="00C40939">
        <w:rPr>
          <w:szCs w:val="24"/>
        </w:rPr>
        <w:t>to [</w:t>
      </w:r>
      <w:r w:rsidRPr="00C40939">
        <w:rPr>
          <w:b/>
          <w:color w:val="008000"/>
          <w:szCs w:val="24"/>
        </w:rPr>
        <w:t>insert termination date].</w:t>
      </w:r>
    </w:p>
    <w:p w:rsidR="00FF14C5" w:rsidRPr="00C40939" w:rsidRDefault="00FF14C5" w:rsidP="00C40939">
      <w:pPr>
        <w:pStyle w:val="Level3"/>
        <w:tabs>
          <w:tab w:val="left" w:pos="720"/>
        </w:tabs>
        <w:spacing w:line="240" w:lineRule="auto"/>
        <w:ind w:left="0" w:firstLine="0"/>
        <w:rPr>
          <w:szCs w:val="24"/>
        </w:rPr>
      </w:pPr>
      <w:r w:rsidRPr="00C40939">
        <w:rPr>
          <w:b/>
          <w:szCs w:val="24"/>
        </w:rPr>
        <w:t>No Automatic Renewal.</w:t>
      </w:r>
      <w:r w:rsidRPr="00C40939">
        <w:rPr>
          <w:szCs w:val="24"/>
        </w:rPr>
        <w:t xml:space="preserve">  Notwithstanding anything to the contrary contained in this Agreement (including, without limitation, any terms and conditions of Contractor attached hereto): (a) in no event shall the term of this Agreement be longer than the initial term expressly stated in this Agreement; (b) any automatic renewal or extension (whether or not conditioned upon any notice or absence thereof from either party) or any similar “evergreen” provision shall be deemed null and void ab initio; and (c) the term of this Agreement shall not be extended or renewed except by written agreement duly authorized, executed and delivered by City.  In the event of any inconsistency within this Agreement relating to the duration of the initial term hereof, the shorter initial term shall govern. If no initial term is stated in this Agreement, then the term shall be one year from the date on which the term commences.</w:t>
      </w:r>
    </w:p>
    <w:p w:rsidR="00FF14C5" w:rsidRPr="00C40939" w:rsidRDefault="00FF14C5" w:rsidP="00C40939">
      <w:pPr>
        <w:pStyle w:val="Level3"/>
        <w:tabs>
          <w:tab w:val="left" w:pos="720"/>
        </w:tabs>
        <w:spacing w:line="240" w:lineRule="auto"/>
        <w:ind w:left="0" w:firstLine="0"/>
        <w:rPr>
          <w:szCs w:val="24"/>
        </w:rPr>
      </w:pPr>
      <w:r w:rsidRPr="00C40939">
        <w:rPr>
          <w:b/>
          <w:szCs w:val="24"/>
        </w:rPr>
        <w:lastRenderedPageBreak/>
        <w:t>City's Payment Obligation.</w:t>
      </w:r>
      <w:r w:rsidRPr="00C40939">
        <w:rPr>
          <w:szCs w:val="24"/>
        </w:rPr>
        <w:t xml:space="preserve">  The City will make a good faith effort to pay all invoices within 30 days of billing.  In no event will the City pay any late fees or charges for payments made after the 30 day period.  Contractor and the City understand and intend that the obligations of the City to pay maintenance charges hereunder shall constitute a current expense of the City and shall not in any way be construed to be a debt of the City in contravention of any applicable constitutional or statutory limitations or requirements concerning the creation of indebtedness by the City, nor shall anything contained herein constitute a pledge of the general tax revenues, funds or monies of the City.  The City shall pay maintenance charges, exclusively from legally available funds, to Contractor or, in the event of an authorized assignment by Contractor to its assignee, according to the terms of this Agreement, upon presentation of invoices furnished by Contractor in a form acceptable to the Controller.  Payments will be made by warrant drawn on the Treasurer of the City.  Maintenance Payments shall be in consideration for the maintenance services provided by Contractor during the applicable fiscal year in which such payments are due.  In no event shall the amount of this Agreement exceed </w:t>
      </w:r>
      <w:r w:rsidRPr="00C40939">
        <w:rPr>
          <w:b/>
          <w:color w:val="008000"/>
          <w:szCs w:val="24"/>
        </w:rPr>
        <w:t>[insert whole dollar amount in numbers and words – no pennies and no “.00”].</w:t>
      </w:r>
      <w:r w:rsidRPr="00C40939">
        <w:rPr>
          <w:szCs w:val="24"/>
        </w:rPr>
        <w:t xml:space="preserve">  The breakdown of costs associated with this Agreement appears in the agreement between City and Contractor, dated [insert date], to which this Attachment is attached.</w:t>
      </w:r>
    </w:p>
    <w:p w:rsidR="00FF14C5" w:rsidRPr="00C40939" w:rsidRDefault="00FF14C5" w:rsidP="00C40939">
      <w:pPr>
        <w:pStyle w:val="Level3"/>
        <w:tabs>
          <w:tab w:val="left" w:pos="720"/>
        </w:tabs>
        <w:spacing w:line="240" w:lineRule="auto"/>
        <w:ind w:left="0" w:firstLine="0"/>
        <w:rPr>
          <w:szCs w:val="24"/>
        </w:rPr>
      </w:pPr>
      <w:r w:rsidRPr="00C40939">
        <w:rPr>
          <w:b/>
          <w:szCs w:val="24"/>
        </w:rPr>
        <w:t>Guaranteed Maximum Costs.</w:t>
      </w:r>
      <w:r w:rsidRPr="00C40939">
        <w:rPr>
          <w:szCs w:val="24"/>
        </w:rPr>
        <w:t xml:space="preserve">  The City's obligation hereunder shall not at any time exceed the amount certified by the Controller for the purpose and period stated in such certification.  Except as may be provided by laws governing emergency procedures, officers and employees of the City are not authorized to request, and the City is not required to reimburse the Contractor for, Commodities or Services beyond the agreed upon contract scope unless the changed scope is authorized by amendment and approved as required by law.  Officers and employees of the City are not authorized to offer or promise, nor is the City required to honor, any offered or promised additional funding in excess of the maximum amount of funding for which the contract is certified without certification of the additional amount by the Controller.  The Controller is not authorized to make payments on any contract for which funds have not been certified as available in the budget or by supplemental appropriation. </w:t>
      </w:r>
    </w:p>
    <w:p w:rsidR="00FF14C5" w:rsidRPr="00C40939" w:rsidRDefault="00FF14C5" w:rsidP="00C40939">
      <w:pPr>
        <w:pStyle w:val="Level3"/>
        <w:tabs>
          <w:tab w:val="left" w:pos="720"/>
        </w:tabs>
        <w:spacing w:line="240" w:lineRule="auto"/>
        <w:ind w:left="0" w:firstLine="0"/>
        <w:rPr>
          <w:szCs w:val="24"/>
        </w:rPr>
      </w:pPr>
      <w:r w:rsidRPr="00C40939">
        <w:rPr>
          <w:b/>
          <w:szCs w:val="24"/>
        </w:rPr>
        <w:t>Submitting False Claims; Monetary Penalties.</w:t>
      </w:r>
      <w:r w:rsidRPr="00C40939">
        <w:rPr>
          <w:szCs w:val="24"/>
        </w:rPr>
        <w:t xml:space="preserve">  </w:t>
      </w:r>
      <w:r w:rsidR="001D2019">
        <w:t xml:space="preserve">Pursuant to San Francisco Administrative Code §21.35, any contractor, subcontractor or </w:t>
      </w:r>
      <w:r w:rsidR="001D2019">
        <w:rPr>
          <w:szCs w:val="22"/>
        </w:rPr>
        <w:t>consultant</w:t>
      </w:r>
      <w:r w:rsidR="001D2019">
        <w:t xml:space="preserve"> who submits a false claim shall be liable to the City for the statutory penalties set forth in that section.    A contractor, subcontractor or consultant will be deemed to have submitted a false claim to the City if the contractor, subcontractor or consultant:  (a)  knowingly presents or causes to be presented to an officer or employee of the City a false claim or request for payment or approval;  (b)  knowingly makes, uses, or causes to be made or used a false record or statement to get a false claim paid or approved by the City;  (c)  conspires to defraud the City by getting a false claim allowed or paid by the City;  (d)  knowingly makes, uses, or causes to be made or used a false record or statement to conceal, avoid, or decrease an obligation to pay or transmit money or property to the City; or  (e)  is a beneficiary of an inadvertent submission of a false claim to the City, subsequently discovers the falsity of the claim, and fails to disclose the false claim to the City within a reasonable time after discovery of the false claim.</w:t>
      </w:r>
    </w:p>
    <w:p w:rsidR="00FF14C5" w:rsidRPr="00C40939" w:rsidRDefault="00FF14C5" w:rsidP="00C40939">
      <w:pPr>
        <w:pStyle w:val="Level3"/>
        <w:tabs>
          <w:tab w:val="left" w:pos="720"/>
        </w:tabs>
        <w:spacing w:line="240" w:lineRule="auto"/>
        <w:ind w:left="0" w:firstLine="0"/>
        <w:rPr>
          <w:szCs w:val="24"/>
        </w:rPr>
      </w:pPr>
      <w:r w:rsidRPr="00C40939">
        <w:rPr>
          <w:b/>
          <w:szCs w:val="24"/>
        </w:rPr>
        <w:t>Force Majeure.</w:t>
      </w:r>
      <w:r w:rsidRPr="00C40939">
        <w:rPr>
          <w:szCs w:val="24"/>
        </w:rPr>
        <w:t xml:space="preserve">  Contractor shall not be liable for failure to maintain Equipment when such failure is due to causes beyond its reasonable control, such as acts of God, acts of civil or military authority, fires, strikes, floods, epidemics, quarantine, war, riot, delays in transportation, care shortages, and inability due to causes beyond its reasonable control to obtain necessary </w:t>
      </w:r>
      <w:r w:rsidRPr="00C40939">
        <w:rPr>
          <w:szCs w:val="24"/>
        </w:rPr>
        <w:lastRenderedPageBreak/>
        <w:t>labor, materials or manufacturing facilities, and in such event the Contractor shall perform as soon as such cause is removed.</w:t>
      </w:r>
    </w:p>
    <w:p w:rsidR="00FF14C5" w:rsidRPr="00C40939" w:rsidRDefault="00FF14C5" w:rsidP="00C40939">
      <w:pPr>
        <w:pStyle w:val="Level3"/>
        <w:tabs>
          <w:tab w:val="left" w:pos="720"/>
        </w:tabs>
        <w:spacing w:line="240" w:lineRule="auto"/>
        <w:ind w:left="0" w:firstLine="0"/>
        <w:rPr>
          <w:szCs w:val="24"/>
        </w:rPr>
      </w:pPr>
      <w:r w:rsidRPr="00C40939">
        <w:rPr>
          <w:b/>
          <w:szCs w:val="24"/>
        </w:rPr>
        <w:t>Indemnification.</w:t>
      </w:r>
      <w:r w:rsidRPr="00C40939">
        <w:rPr>
          <w:szCs w:val="24"/>
        </w:rPr>
        <w:t xml:space="preserve">  Contractor shall indemnify and save harmless the City from and against any and all loss, cost, damage, injury, liability, and claims, including those arising out of injury to or death of a person, or loss of or damage to property, arising directly or indirectly from Contractor's performance of this Agreement, including, but not limited to, Contractor's use of facilities or equipment provided by City or others, regardless of the negligence of, and regardless of whether liability without fault is imposed or sought to be imposed on, City, except to the extent that such indemnity is void or otherwise unenforceable under applicable law in effect on or validly retroactive to the date of this Agreement and except where such loss, damage, injury, liability or claim is the result of active negligence or willful misconduct of City and is not contributed to by any act of, or by any omission to perform some duty imposed by law or contract on, Contractor, its subcontractor or either's agent or employee.  The foregoing indemnity shall include, without limitation, reasonable fees of attorneys, consultants and experts and related costs and City’s costs of investigating any claims against the City.  In addition to Contractor’s obligation to indemnify City, Contractor specifically acknowledges and agrees that it has an immediate and independent obligation to defend City from any claim which actually or potentially falls within this indemnification provision, even if the allegations are or may be groundless, false or fraudulent; this obligation arises at the time such claim is tendered to Contractor by City and continues at all times thereafter. Contractor shall indemnify and hold City harmless from all loss and liability, including attorney's fees, court costs and all other litigation expenses for any infringement of the patent rights, copyright, trade secret or any other proprietary right or trademark of any person or persons in consequence of the use by City, or any of its officers or agents, of articles or services to be supplied in the performance of this Agreement.</w:t>
      </w:r>
    </w:p>
    <w:p w:rsidR="00FF14C5" w:rsidRPr="00C40939" w:rsidRDefault="00FF14C5" w:rsidP="00C40939">
      <w:pPr>
        <w:pStyle w:val="Level3"/>
        <w:tabs>
          <w:tab w:val="left" w:pos="720"/>
        </w:tabs>
        <w:spacing w:line="240" w:lineRule="auto"/>
        <w:ind w:left="0" w:firstLine="0"/>
        <w:rPr>
          <w:szCs w:val="24"/>
        </w:rPr>
      </w:pPr>
      <w:r w:rsidRPr="00C40939">
        <w:rPr>
          <w:b/>
          <w:szCs w:val="24"/>
        </w:rPr>
        <w:t>Liability for Damage to Equipment</w:t>
      </w:r>
      <w:r w:rsidRPr="00C40939">
        <w:rPr>
          <w:szCs w:val="24"/>
        </w:rPr>
        <w:t>.  It is understood and agreed that the City is responsible for loss of or damage to any Contractor owned equipment involved, only as caused by the negligent or wrongful actions of City's officers, agents and employees.</w:t>
      </w:r>
      <w:r w:rsidRPr="00C40939">
        <w:rPr>
          <w:szCs w:val="24"/>
        </w:rPr>
        <w:cr/>
      </w:r>
    </w:p>
    <w:p w:rsidR="00FF14C5" w:rsidRPr="00C40939" w:rsidRDefault="00FF14C5" w:rsidP="00C40939">
      <w:pPr>
        <w:pStyle w:val="Level3"/>
        <w:tabs>
          <w:tab w:val="left" w:pos="720"/>
        </w:tabs>
        <w:spacing w:line="240" w:lineRule="auto"/>
        <w:ind w:left="0" w:firstLine="0"/>
        <w:rPr>
          <w:szCs w:val="24"/>
        </w:rPr>
      </w:pPr>
      <w:r w:rsidRPr="00C40939">
        <w:rPr>
          <w:b/>
          <w:szCs w:val="24"/>
        </w:rPr>
        <w:t>Incidental and Consequential Damages</w:t>
      </w:r>
      <w:r w:rsidRPr="00C40939">
        <w:rPr>
          <w:szCs w:val="24"/>
        </w:rPr>
        <w:t>.  Contractor shall be responsible for incidental and consequential damages resulting in whole or in part from contractor's acts or omissions.  Nothing in this agreement shall constitute a waiver or limitation of any rights which City may have under applicable law.</w:t>
      </w:r>
    </w:p>
    <w:p w:rsidR="00FF14C5" w:rsidRPr="00C40939" w:rsidRDefault="00FF14C5" w:rsidP="00C40939">
      <w:pPr>
        <w:pStyle w:val="Level3"/>
        <w:tabs>
          <w:tab w:val="left" w:pos="720"/>
        </w:tabs>
        <w:spacing w:line="240" w:lineRule="auto"/>
        <w:ind w:left="0" w:firstLine="0"/>
        <w:rPr>
          <w:b/>
          <w:szCs w:val="24"/>
        </w:rPr>
      </w:pPr>
      <w:r w:rsidRPr="00C40939">
        <w:rPr>
          <w:b/>
          <w:szCs w:val="24"/>
        </w:rPr>
        <w:t>Insurance</w:t>
      </w:r>
    </w:p>
    <w:p w:rsidR="00FF14C5" w:rsidRPr="00C40939" w:rsidRDefault="00FF14C5" w:rsidP="00C40939">
      <w:pPr>
        <w:pStyle w:val="Level4"/>
        <w:tabs>
          <w:tab w:val="clear" w:pos="2160"/>
          <w:tab w:val="clear" w:pos="3600"/>
          <w:tab w:val="left" w:pos="1440"/>
        </w:tabs>
        <w:spacing w:line="240" w:lineRule="auto"/>
        <w:ind w:left="0" w:firstLine="720"/>
        <w:rPr>
          <w:szCs w:val="24"/>
        </w:rPr>
      </w:pPr>
      <w:r w:rsidRPr="00C40939">
        <w:rPr>
          <w:szCs w:val="24"/>
        </w:rPr>
        <w:t>Without in any way limiting Contractor’s liability pursuant to the “Indemnification” section of this Agreement, Contractor must maintain in force, during the full term of the Agreement, insurance in the following amounts and coverages:</w:t>
      </w:r>
    </w:p>
    <w:p w:rsidR="00FF14C5" w:rsidRPr="00C40939" w:rsidRDefault="00FF14C5" w:rsidP="00C40939">
      <w:pPr>
        <w:spacing w:line="240" w:lineRule="auto"/>
        <w:rPr>
          <w:b/>
          <w:color w:val="008000"/>
          <w:szCs w:val="24"/>
        </w:rPr>
      </w:pPr>
      <w:r w:rsidRPr="00C40939">
        <w:rPr>
          <w:b/>
          <w:color w:val="008000"/>
          <w:szCs w:val="24"/>
        </w:rPr>
        <w:sym w:font="Wingdings 3" w:char="F096"/>
      </w:r>
      <w:r w:rsidRPr="00C40939">
        <w:rPr>
          <w:b/>
          <w:color w:val="008000"/>
          <w:szCs w:val="24"/>
        </w:rPr>
        <w:t xml:space="preserve"> The following types and amounts of insurance are those most commonly required in City contracts, but departments should tailor the types and amounts of insurance to the particular risks of each contractor’s services.  For example, if the contractor would deliver fuel, transport hazardous waste, or operate aircraft, higher policy limits would be necessary.  Please contact the City’s Risk Manager with specific questions, and do this early in the contracting process, such as before a bid or RFP is made public.</w:t>
      </w:r>
    </w:p>
    <w:p w:rsidR="00FF14C5" w:rsidRPr="00C40939" w:rsidRDefault="00FF14C5" w:rsidP="00C40939">
      <w:pPr>
        <w:spacing w:line="240" w:lineRule="auto"/>
        <w:rPr>
          <w:szCs w:val="24"/>
        </w:rPr>
      </w:pPr>
    </w:p>
    <w:p w:rsidR="00FF14C5" w:rsidRPr="00C40939" w:rsidRDefault="00FF14C5" w:rsidP="00C40939">
      <w:pPr>
        <w:spacing w:line="240" w:lineRule="auto"/>
        <w:rPr>
          <w:b/>
          <w:color w:val="008000"/>
          <w:szCs w:val="24"/>
        </w:rPr>
      </w:pPr>
      <w:r w:rsidRPr="00C40939">
        <w:rPr>
          <w:b/>
          <w:color w:val="008000"/>
          <w:szCs w:val="24"/>
        </w:rPr>
        <w:lastRenderedPageBreak/>
        <w:t>Any reductions below these coverages require the approval of the City’s Risk Manager.</w:t>
      </w:r>
    </w:p>
    <w:p w:rsidR="00FF14C5" w:rsidRPr="00C40939" w:rsidRDefault="00FF14C5" w:rsidP="00C40939">
      <w:pPr>
        <w:spacing w:line="240" w:lineRule="auto"/>
        <w:rPr>
          <w:b/>
          <w:color w:val="008000"/>
          <w:szCs w:val="24"/>
        </w:rPr>
      </w:pPr>
    </w:p>
    <w:p w:rsidR="00FF14C5" w:rsidRPr="00C40939" w:rsidRDefault="00FF14C5" w:rsidP="00C40939">
      <w:pPr>
        <w:spacing w:line="240" w:lineRule="auto"/>
        <w:rPr>
          <w:b/>
          <w:color w:val="008000"/>
          <w:szCs w:val="24"/>
        </w:rPr>
      </w:pPr>
      <w:r w:rsidRPr="00C40939">
        <w:rPr>
          <w:b/>
          <w:color w:val="008000"/>
          <w:szCs w:val="24"/>
        </w:rPr>
        <w:t>It is important to avoid unnecessarily high insurance requirements, which could be a barrier to small businesses and LBEs doing business with the City.</w:t>
      </w:r>
    </w:p>
    <w:p w:rsidR="00FF14C5" w:rsidRPr="00C40939" w:rsidRDefault="00FF14C5" w:rsidP="00C40939">
      <w:pPr>
        <w:spacing w:line="240" w:lineRule="auto"/>
        <w:rPr>
          <w:szCs w:val="24"/>
        </w:rPr>
      </w:pPr>
    </w:p>
    <w:p w:rsidR="00FF14C5" w:rsidRPr="00C40939" w:rsidRDefault="00FF14C5" w:rsidP="00C40939">
      <w:pPr>
        <w:pStyle w:val="Level5"/>
        <w:tabs>
          <w:tab w:val="left" w:pos="2160"/>
        </w:tabs>
        <w:spacing w:line="240" w:lineRule="auto"/>
        <w:ind w:left="0" w:firstLine="1440"/>
        <w:rPr>
          <w:szCs w:val="24"/>
        </w:rPr>
      </w:pPr>
      <w:r w:rsidRPr="00C40939">
        <w:rPr>
          <w:szCs w:val="24"/>
        </w:rPr>
        <w:t>Workers’ Compensation, in statutory amounts, with Employers’ Liability Limits not less than $1,000,000 each accident, injury, or illness; and</w:t>
      </w:r>
    </w:p>
    <w:p w:rsidR="00FF14C5" w:rsidRPr="00C40939" w:rsidRDefault="00FF14C5" w:rsidP="00C40939">
      <w:pPr>
        <w:pStyle w:val="Level5"/>
        <w:tabs>
          <w:tab w:val="left" w:pos="2160"/>
        </w:tabs>
        <w:spacing w:line="240" w:lineRule="auto"/>
        <w:ind w:left="0" w:firstLine="1440"/>
        <w:rPr>
          <w:szCs w:val="24"/>
        </w:rPr>
      </w:pPr>
      <w:r w:rsidRPr="00C40939">
        <w:rPr>
          <w:szCs w:val="24"/>
        </w:rPr>
        <w:t>Commercial General Liability Insurance with limits not less than $1,000,000 each occurrence Combined Single Limit for Bodily Injury and Property Damage, including Contractual Liability, Personal Injury, Products and Completed Operations; and</w:t>
      </w:r>
    </w:p>
    <w:p w:rsidR="00FF14C5" w:rsidRPr="00C40939" w:rsidRDefault="00FF14C5" w:rsidP="00C40939">
      <w:pPr>
        <w:pStyle w:val="Level5"/>
        <w:tabs>
          <w:tab w:val="left" w:pos="2160"/>
        </w:tabs>
        <w:spacing w:line="240" w:lineRule="auto"/>
        <w:ind w:left="0" w:firstLine="1440"/>
        <w:rPr>
          <w:szCs w:val="24"/>
        </w:rPr>
      </w:pPr>
      <w:r w:rsidRPr="00C40939">
        <w:rPr>
          <w:szCs w:val="24"/>
        </w:rPr>
        <w:t>Commercial Automobile Liability Insurance with limits not less than $1,000,000 each occurrence Combined Single Limit for Bodily Injury and Property Damage, including Owned, Non-Owned and Hired auto coverage, as applicable.</w:t>
      </w:r>
    </w:p>
    <w:p w:rsidR="00FF14C5" w:rsidRPr="00C40939" w:rsidRDefault="00FF14C5" w:rsidP="00C40939">
      <w:pPr>
        <w:pStyle w:val="Level4"/>
        <w:tabs>
          <w:tab w:val="clear" w:pos="2160"/>
          <w:tab w:val="clear" w:pos="3600"/>
          <w:tab w:val="left" w:pos="1440"/>
        </w:tabs>
        <w:spacing w:line="240" w:lineRule="auto"/>
        <w:ind w:left="0" w:firstLine="720"/>
        <w:rPr>
          <w:szCs w:val="24"/>
        </w:rPr>
      </w:pPr>
      <w:r w:rsidRPr="00C40939">
        <w:rPr>
          <w:szCs w:val="24"/>
        </w:rPr>
        <w:t>Commercial General Liability and Commercial Automobile Liability Insurance policies must be endorsed to provide:</w:t>
      </w:r>
    </w:p>
    <w:p w:rsidR="00FF14C5" w:rsidRPr="00C40939" w:rsidRDefault="00FF14C5" w:rsidP="00C40939">
      <w:pPr>
        <w:pStyle w:val="Level5"/>
        <w:tabs>
          <w:tab w:val="left" w:pos="2160"/>
        </w:tabs>
        <w:spacing w:line="240" w:lineRule="auto"/>
        <w:ind w:left="0" w:firstLine="1440"/>
        <w:rPr>
          <w:szCs w:val="24"/>
        </w:rPr>
      </w:pPr>
      <w:r w:rsidRPr="00C40939">
        <w:rPr>
          <w:szCs w:val="24"/>
        </w:rPr>
        <w:t xml:space="preserve">Name as Additional Insured the City and </w:t>
      </w:r>
      <w:smartTag w:uri="urn:schemas-microsoft-com:office:smarttags" w:element="place">
        <w:smartTag w:uri="urn:schemas-microsoft-com:office:smarttags" w:element="PlaceType">
          <w:r w:rsidRPr="00C40939">
            <w:rPr>
              <w:szCs w:val="24"/>
            </w:rPr>
            <w:t>County</w:t>
          </w:r>
        </w:smartTag>
        <w:r w:rsidRPr="00C40939">
          <w:rPr>
            <w:szCs w:val="24"/>
          </w:rPr>
          <w:t xml:space="preserve"> of </w:t>
        </w:r>
        <w:smartTag w:uri="urn:schemas-microsoft-com:office:smarttags" w:element="PlaceName">
          <w:r w:rsidRPr="00C40939">
            <w:rPr>
              <w:szCs w:val="24"/>
            </w:rPr>
            <w:t>San Francisco</w:t>
          </w:r>
        </w:smartTag>
      </w:smartTag>
      <w:r w:rsidRPr="00C40939">
        <w:rPr>
          <w:szCs w:val="24"/>
        </w:rPr>
        <w:t>, its Officers, Agents, and Employees.</w:t>
      </w:r>
    </w:p>
    <w:p w:rsidR="00FF14C5" w:rsidRPr="00C40939" w:rsidRDefault="00FF14C5" w:rsidP="00C40939">
      <w:pPr>
        <w:pStyle w:val="Level5"/>
        <w:tabs>
          <w:tab w:val="left" w:pos="2160"/>
        </w:tabs>
        <w:spacing w:line="240" w:lineRule="auto"/>
        <w:ind w:left="0" w:firstLine="1440"/>
        <w:rPr>
          <w:szCs w:val="24"/>
        </w:rPr>
      </w:pPr>
      <w:r w:rsidRPr="00C40939">
        <w:rPr>
          <w:szCs w:val="24"/>
        </w:rPr>
        <w:t>That such policies are primary insurance to any other insurance available to the Additional Insureds, with respect to any claims arising out of this Agreement, and that insurance applies separately to each insured against whom claim is made or suit is brought.</w:t>
      </w:r>
    </w:p>
    <w:p w:rsidR="00FF14C5" w:rsidRPr="00C40939" w:rsidRDefault="00FF14C5" w:rsidP="00C40939">
      <w:pPr>
        <w:pStyle w:val="Level4"/>
        <w:tabs>
          <w:tab w:val="clear" w:pos="2160"/>
          <w:tab w:val="clear" w:pos="3600"/>
          <w:tab w:val="left" w:pos="1440"/>
        </w:tabs>
        <w:spacing w:line="240" w:lineRule="auto"/>
        <w:ind w:left="0" w:firstLine="720"/>
        <w:rPr>
          <w:szCs w:val="24"/>
        </w:rPr>
      </w:pPr>
      <w:r w:rsidRPr="00C40939">
        <w:rPr>
          <w:szCs w:val="24"/>
        </w:rPr>
        <w:t xml:space="preserve">Regarding Workers’ Compensation, Contractor hereby agrees to waive subrogation which any insurer of Contractor may acquire from Contractor by virtue of the payment of any loss.  Contractor agrees to obtain any endorsement that may be necessary to effect this waiver of subrogation.  The Workers’ Compensation policy shall be endorsed with a waiver of subrogation in favor of the City for all work performed by the Contractor, its employees, agents and subcontractors. </w:t>
      </w:r>
    </w:p>
    <w:p w:rsidR="00FF14C5" w:rsidRPr="00C40939" w:rsidRDefault="00FF14C5" w:rsidP="00C40939">
      <w:pPr>
        <w:pStyle w:val="Level4"/>
        <w:tabs>
          <w:tab w:val="clear" w:pos="2160"/>
          <w:tab w:val="clear" w:pos="3600"/>
          <w:tab w:val="left" w:pos="1440"/>
        </w:tabs>
        <w:spacing w:line="240" w:lineRule="auto"/>
        <w:ind w:left="0" w:firstLine="720"/>
        <w:rPr>
          <w:szCs w:val="24"/>
        </w:rPr>
      </w:pPr>
      <w:r w:rsidRPr="00C40939">
        <w:rPr>
          <w:szCs w:val="24"/>
        </w:rPr>
        <w:t>All policies shall provide thirty days’ advance written notice to the City of reduction or nonrenewal of coverages or cancellation of coverages for any reason.  Notices shall be sent to the City address in the “Notices to the Parties” section.</w:t>
      </w:r>
    </w:p>
    <w:p w:rsidR="00FF14C5" w:rsidRPr="00C40939" w:rsidRDefault="00FF14C5" w:rsidP="00C40939">
      <w:pPr>
        <w:pStyle w:val="Level4"/>
        <w:tabs>
          <w:tab w:val="clear" w:pos="2160"/>
          <w:tab w:val="clear" w:pos="3600"/>
          <w:tab w:val="left" w:pos="1440"/>
        </w:tabs>
        <w:spacing w:line="240" w:lineRule="auto"/>
        <w:ind w:left="0" w:firstLine="720"/>
        <w:rPr>
          <w:szCs w:val="24"/>
        </w:rPr>
      </w:pPr>
      <w:r w:rsidRPr="00C40939">
        <w:rPr>
          <w:szCs w:val="24"/>
        </w:rPr>
        <w:t>Should any of the required insurance be provided under a claims-made form, Contractor shall maintain such coverage continuously throughout the term of this Agreement and, without lapse, for a period of three years beyond the expiration of this Agreement, to the effect that, should occurrences during the contract term give rise to claims made after expiration of the Agreement, such claims shall be covered by such claims-made policies.</w:t>
      </w:r>
    </w:p>
    <w:p w:rsidR="00FF14C5" w:rsidRPr="00C40939" w:rsidRDefault="00FF14C5" w:rsidP="00C40939">
      <w:pPr>
        <w:pStyle w:val="Level4"/>
        <w:tabs>
          <w:tab w:val="clear" w:pos="2160"/>
          <w:tab w:val="clear" w:pos="3600"/>
          <w:tab w:val="left" w:pos="1440"/>
        </w:tabs>
        <w:spacing w:line="240" w:lineRule="auto"/>
        <w:ind w:left="0" w:firstLine="720"/>
        <w:rPr>
          <w:szCs w:val="24"/>
        </w:rPr>
      </w:pPr>
      <w:r w:rsidRPr="00C40939">
        <w:rPr>
          <w:szCs w:val="24"/>
        </w:rPr>
        <w:t>Should any of the required insurance be provided under a form of coverage that includes a general annual aggregate limit or provides that claims investigation or legal defense costs be included in such general annual aggregate limit, such general annual aggregate limit shall be double the occurrence or claims limits specified above.</w:t>
      </w:r>
    </w:p>
    <w:p w:rsidR="00FF14C5" w:rsidRPr="00C40939" w:rsidRDefault="00FF14C5" w:rsidP="00C40939">
      <w:pPr>
        <w:pStyle w:val="Level4"/>
        <w:tabs>
          <w:tab w:val="clear" w:pos="2160"/>
          <w:tab w:val="clear" w:pos="3600"/>
          <w:tab w:val="left" w:pos="1440"/>
        </w:tabs>
        <w:spacing w:line="240" w:lineRule="auto"/>
        <w:ind w:left="0" w:firstLine="720"/>
        <w:rPr>
          <w:szCs w:val="24"/>
        </w:rPr>
      </w:pPr>
      <w:r w:rsidRPr="00C40939">
        <w:rPr>
          <w:szCs w:val="24"/>
        </w:rPr>
        <w:t xml:space="preserve">Should any required insurance lapse during the term of this Agreement, requests for payments originating after such lapse shall not be processed until the City receives satisfactory evidence of reinstated coverage as required by this Agreement, effective as of the </w:t>
      </w:r>
      <w:r w:rsidRPr="00C40939">
        <w:rPr>
          <w:szCs w:val="24"/>
        </w:rPr>
        <w:lastRenderedPageBreak/>
        <w:t>lapse date.  If insurance is not reinstated, the City may, at its sole option, terminate this Agreement effective on the date of such lapse of insurance.</w:t>
      </w:r>
    </w:p>
    <w:p w:rsidR="00FF14C5" w:rsidRPr="00C40939" w:rsidRDefault="00FF14C5" w:rsidP="00C40939">
      <w:pPr>
        <w:pStyle w:val="Level4"/>
        <w:tabs>
          <w:tab w:val="clear" w:pos="2160"/>
          <w:tab w:val="clear" w:pos="3600"/>
          <w:tab w:val="left" w:pos="1440"/>
        </w:tabs>
        <w:spacing w:line="240" w:lineRule="auto"/>
        <w:ind w:left="0" w:firstLine="720"/>
        <w:rPr>
          <w:szCs w:val="24"/>
        </w:rPr>
      </w:pPr>
      <w:r w:rsidRPr="00C40939">
        <w:rPr>
          <w:szCs w:val="24"/>
        </w:rPr>
        <w:t xml:space="preserve">Before commencing any operations under this Agreement, Contractor shall furnish to City certificates of insurance and additional insured policy endorsements with insurers with ratings comparable to A-, VIII or higher, that are authorized to do business in the State of </w:t>
      </w:r>
      <w:smartTag w:uri="urn:schemas-microsoft-com:office:smarttags" w:element="State">
        <w:smartTag w:uri="urn:schemas-microsoft-com:office:smarttags" w:element="place">
          <w:r w:rsidRPr="00C40939">
            <w:rPr>
              <w:szCs w:val="24"/>
            </w:rPr>
            <w:t>California</w:t>
          </w:r>
        </w:smartTag>
      </w:smartTag>
      <w:r w:rsidRPr="00C40939">
        <w:rPr>
          <w:szCs w:val="24"/>
        </w:rPr>
        <w:t>, and that are satisfactory to City, in form evidencing all coverages set forth above.  Failure to maintain insurance shall constitute a material breach of this Agreement.</w:t>
      </w:r>
    </w:p>
    <w:p w:rsidR="00FF14C5" w:rsidRPr="00C40939" w:rsidRDefault="00FF14C5" w:rsidP="00C40939">
      <w:pPr>
        <w:pStyle w:val="Level4"/>
        <w:tabs>
          <w:tab w:val="clear" w:pos="2160"/>
          <w:tab w:val="clear" w:pos="3600"/>
          <w:tab w:val="left" w:pos="1440"/>
        </w:tabs>
        <w:spacing w:line="240" w:lineRule="auto"/>
        <w:ind w:left="0" w:firstLine="720"/>
        <w:rPr>
          <w:szCs w:val="24"/>
        </w:rPr>
      </w:pPr>
      <w:r w:rsidRPr="00C40939">
        <w:rPr>
          <w:szCs w:val="24"/>
        </w:rPr>
        <w:t>Approval of the insurance by City shall not relieve or decrease the liability of Contractor hereunder.</w:t>
      </w:r>
    </w:p>
    <w:p w:rsidR="00FF14C5" w:rsidRPr="00C40939" w:rsidRDefault="00FF14C5" w:rsidP="00C40939">
      <w:pPr>
        <w:pStyle w:val="Level4"/>
        <w:tabs>
          <w:tab w:val="clear" w:pos="2160"/>
          <w:tab w:val="clear" w:pos="3600"/>
          <w:tab w:val="left" w:pos="1440"/>
        </w:tabs>
        <w:spacing w:line="240" w:lineRule="auto"/>
        <w:ind w:left="0" w:firstLine="720"/>
        <w:rPr>
          <w:szCs w:val="24"/>
        </w:rPr>
      </w:pPr>
      <w:r w:rsidRPr="00C40939">
        <w:rPr>
          <w:szCs w:val="24"/>
        </w:rPr>
        <w:t>(Reserved)</w:t>
      </w:r>
    </w:p>
    <w:p w:rsidR="00FF14C5" w:rsidRPr="00C40939" w:rsidRDefault="00FF14C5" w:rsidP="00C40939">
      <w:pPr>
        <w:spacing w:line="240" w:lineRule="auto"/>
        <w:rPr>
          <w:b/>
          <w:color w:val="008000"/>
          <w:szCs w:val="24"/>
        </w:rPr>
      </w:pPr>
      <w:r w:rsidRPr="00C40939">
        <w:rPr>
          <w:b/>
          <w:color w:val="008000"/>
          <w:szCs w:val="24"/>
        </w:rPr>
        <w:sym w:font="Wingdings 3" w:char="F096"/>
      </w:r>
      <w:r w:rsidRPr="00C40939">
        <w:rPr>
          <w:b/>
          <w:color w:val="008000"/>
          <w:szCs w:val="24"/>
        </w:rPr>
        <w:t xml:space="preserve"> Do not insert subparagraph k. until after a waiver has been granted by the Risk Manager.</w:t>
      </w:r>
    </w:p>
    <w:p w:rsidR="00FF14C5" w:rsidRPr="00C40939" w:rsidRDefault="00FF14C5" w:rsidP="00C40939">
      <w:pPr>
        <w:pStyle w:val="Level4"/>
        <w:tabs>
          <w:tab w:val="clear" w:pos="2160"/>
          <w:tab w:val="clear" w:pos="3600"/>
          <w:tab w:val="left" w:pos="1440"/>
        </w:tabs>
        <w:spacing w:line="240" w:lineRule="auto"/>
        <w:ind w:left="0" w:firstLine="720"/>
        <w:rPr>
          <w:szCs w:val="24"/>
        </w:rPr>
      </w:pPr>
      <w:r w:rsidRPr="00C40939">
        <w:rPr>
          <w:szCs w:val="24"/>
        </w:rPr>
        <w:t>Any of the terms of conditions of this Section 11 may be waived by the City’s Risk Manager in writing, and attached to this Agreement as Appendix C.  Such waiver is fully incorporated herein.  The waiver shall waive only the requirements that are expressly identified and waived, and under such terms and conditions as stated in the waiver.</w:t>
      </w:r>
    </w:p>
    <w:p w:rsidR="00FF14C5" w:rsidRPr="00C40939" w:rsidRDefault="00FF14C5" w:rsidP="00C40939">
      <w:pPr>
        <w:pStyle w:val="Level3"/>
        <w:tabs>
          <w:tab w:val="left" w:pos="720"/>
        </w:tabs>
        <w:spacing w:line="240" w:lineRule="auto"/>
        <w:ind w:left="0" w:firstLine="0"/>
        <w:rPr>
          <w:szCs w:val="24"/>
        </w:rPr>
      </w:pPr>
      <w:r w:rsidRPr="00C40939">
        <w:rPr>
          <w:b/>
          <w:szCs w:val="24"/>
        </w:rPr>
        <w:t>Provisions Controlling.</w:t>
      </w:r>
      <w:r w:rsidRPr="00C40939">
        <w:rPr>
          <w:szCs w:val="24"/>
        </w:rPr>
        <w:t xml:space="preserve">  Contractor further agrees that in the event of conflicting language between this “Equipment Maintenance Attachment” and Contractor's printed form, the provisions of this “Equipment Maintenance Attachment” shall take precedence.</w:t>
      </w:r>
    </w:p>
    <w:p w:rsidR="00FF14C5" w:rsidRPr="00C40939" w:rsidRDefault="00FF14C5" w:rsidP="00C40939">
      <w:pPr>
        <w:pStyle w:val="Level3"/>
        <w:tabs>
          <w:tab w:val="left" w:pos="720"/>
        </w:tabs>
        <w:spacing w:line="240" w:lineRule="auto"/>
        <w:ind w:left="0" w:firstLine="0"/>
        <w:rPr>
          <w:szCs w:val="24"/>
        </w:rPr>
      </w:pPr>
      <w:r w:rsidRPr="00C40939">
        <w:rPr>
          <w:b/>
          <w:szCs w:val="24"/>
        </w:rPr>
        <w:t>Contractor's Default.</w:t>
      </w:r>
      <w:r w:rsidRPr="00C40939">
        <w:rPr>
          <w:szCs w:val="24"/>
        </w:rPr>
        <w:t xml:space="preserve">  Failure or refusal of Contractor to perform or do any act herein required shall constitute a default.  In the event of any default, in addition to any other remedy available to City, this Contract may be terminated by City upon ten days written notice.  Such termination does not waive any other legal remedies available to City.</w:t>
      </w:r>
    </w:p>
    <w:p w:rsidR="00FF14C5" w:rsidRPr="00C40939" w:rsidRDefault="00FF14C5" w:rsidP="00C40939">
      <w:pPr>
        <w:pStyle w:val="Level3"/>
        <w:tabs>
          <w:tab w:val="left" w:pos="720"/>
        </w:tabs>
        <w:spacing w:line="240" w:lineRule="auto"/>
        <w:ind w:left="0" w:firstLine="0"/>
        <w:rPr>
          <w:b/>
          <w:szCs w:val="24"/>
        </w:rPr>
      </w:pPr>
      <w:r w:rsidRPr="00C40939">
        <w:rPr>
          <w:b/>
          <w:szCs w:val="24"/>
        </w:rPr>
        <w:t>Termination</w:t>
      </w:r>
    </w:p>
    <w:p w:rsidR="00FF14C5" w:rsidRPr="00C40939" w:rsidRDefault="00FF14C5" w:rsidP="00C40939">
      <w:pPr>
        <w:pStyle w:val="Level4"/>
        <w:tabs>
          <w:tab w:val="clear" w:pos="2160"/>
          <w:tab w:val="clear" w:pos="3600"/>
          <w:tab w:val="left" w:pos="1440"/>
        </w:tabs>
        <w:spacing w:line="240" w:lineRule="auto"/>
        <w:ind w:left="0" w:firstLine="720"/>
        <w:rPr>
          <w:szCs w:val="24"/>
        </w:rPr>
      </w:pPr>
      <w:r w:rsidRPr="00C40939">
        <w:rPr>
          <w:b/>
          <w:szCs w:val="24"/>
        </w:rPr>
        <w:t>Termination for Cause</w:t>
      </w:r>
      <w:r w:rsidRPr="00C40939">
        <w:rPr>
          <w:szCs w:val="24"/>
        </w:rPr>
        <w:t>.  In the event Contractor fails to perform any of its obligations under this Agreement, this Agreement may be terminated and all of Contractor's rights hereunder ended.  Termination will be effective after ten days written notice to Contractor.  No new work will be undertaken after the date of receipt of any notice of termination, or five days after the date of the notice, whichever is earlier.  In the event of such termination, Contractor will be paid for those services performed under this Agreement to the satisfaction of the City, up to the date of termination. However, City may offset from any such amounts due Contractor any liquidated damages or other costs City has or will incur due to Contractor’s non-performance.  Any such offset by City will not constitute a waiver of any other remedies City may have against Contractor for financial injury or otherwise.</w:t>
      </w:r>
    </w:p>
    <w:p w:rsidR="00FF14C5" w:rsidRPr="00C40939" w:rsidRDefault="00FF14C5" w:rsidP="00C40939">
      <w:pPr>
        <w:pStyle w:val="Level4"/>
        <w:tabs>
          <w:tab w:val="clear" w:pos="2160"/>
          <w:tab w:val="clear" w:pos="3600"/>
          <w:tab w:val="left" w:pos="1440"/>
        </w:tabs>
        <w:spacing w:line="240" w:lineRule="auto"/>
        <w:ind w:left="0" w:firstLine="720"/>
        <w:rPr>
          <w:szCs w:val="24"/>
        </w:rPr>
      </w:pPr>
      <w:r w:rsidRPr="00C40939">
        <w:rPr>
          <w:b/>
          <w:szCs w:val="24"/>
        </w:rPr>
        <w:t>Termination for Convenience.</w:t>
      </w:r>
      <w:r w:rsidRPr="00C40939">
        <w:rPr>
          <w:szCs w:val="24"/>
        </w:rPr>
        <w:t xml:space="preserve">  City may terminate this Agreement for City's convenience and without cause at any time by giving Contractor thirty days written notice of such termination.  In the event of such termination, Contractor will be paid for those services performed, pursuant to this Agreement, to the satisfaction of the City up to the date of termination.  In no event will City be liable for costs incurred by Contractor after receipt of a notice of termination.  Such non-recoverable costs include, but are not limited to, anticipated profits on this Agreement, post-termination employee salaries, post-termination administrative expenses, or any other cost which is not reasonable or authorized under this section.  This section </w:t>
      </w:r>
      <w:r w:rsidRPr="00C40939">
        <w:rPr>
          <w:szCs w:val="24"/>
        </w:rPr>
        <w:lastRenderedPageBreak/>
        <w:t>shall not prevent Contractor from recovering costs necessarily incurred in discontinuing further work under the contract after receipt of the termination notice.</w:t>
      </w:r>
    </w:p>
    <w:p w:rsidR="00FF14C5" w:rsidRPr="00C40939" w:rsidRDefault="00FF14C5" w:rsidP="00C40939">
      <w:pPr>
        <w:pStyle w:val="Level4"/>
        <w:tabs>
          <w:tab w:val="clear" w:pos="2160"/>
          <w:tab w:val="clear" w:pos="3600"/>
          <w:tab w:val="left" w:pos="1440"/>
        </w:tabs>
        <w:spacing w:line="240" w:lineRule="auto"/>
        <w:ind w:left="0" w:firstLine="720"/>
        <w:rPr>
          <w:szCs w:val="24"/>
        </w:rPr>
      </w:pPr>
      <w:r w:rsidRPr="00C40939">
        <w:rPr>
          <w:b/>
          <w:szCs w:val="24"/>
        </w:rPr>
        <w:t>Obligations upon Termination.</w:t>
      </w:r>
      <w:r w:rsidRPr="00C40939">
        <w:rPr>
          <w:szCs w:val="24"/>
        </w:rPr>
        <w:t xml:space="preserve">  Upon termination of this Agreement, Contractor will submit an invoice to City for an amount which represents the value of its work or services actually performed prior to the effective date of termination for which Contractor has not previously been compensated, except that with respect to reimbursement for Contractor’s services, in no event will the compensation paid for the month in which termination occurs be greater than the scheduled monthly fee multiplied by a fraction, the numerator of which will be the days in the month elapsed prior to the termination and the denominator of which shall be 31.  Upon approval and payment of this invoice by City, City shall be under no further obligation to Contractor monetarily or otherwise.</w:t>
      </w:r>
    </w:p>
    <w:p w:rsidR="00FF14C5" w:rsidRDefault="00FF14C5" w:rsidP="00FC2027">
      <w:pPr>
        <w:pStyle w:val="Level4"/>
        <w:tabs>
          <w:tab w:val="clear" w:pos="720"/>
          <w:tab w:val="clear" w:pos="2160"/>
          <w:tab w:val="clear" w:pos="3600"/>
          <w:tab w:val="left" w:pos="1440"/>
        </w:tabs>
        <w:spacing w:line="240" w:lineRule="auto"/>
        <w:ind w:left="0" w:firstLine="720"/>
        <w:rPr>
          <w:szCs w:val="24"/>
        </w:rPr>
      </w:pPr>
      <w:r w:rsidRPr="00C40939">
        <w:rPr>
          <w:b/>
          <w:szCs w:val="24"/>
        </w:rPr>
        <w:t>Survival.</w:t>
      </w:r>
      <w:r w:rsidRPr="00C40939">
        <w:rPr>
          <w:szCs w:val="24"/>
        </w:rPr>
        <w:t xml:space="preserve">  This section and the following sections of this Agreement shall survive termination or expiration of this Agreement</w:t>
      </w:r>
    </w:p>
    <w:tbl>
      <w:tblPr>
        <w:tblW w:w="9445" w:type="dxa"/>
        <w:tblInd w:w="108" w:type="dxa"/>
        <w:tblLayout w:type="fixed"/>
        <w:tblLook w:val="04A0" w:firstRow="1" w:lastRow="0" w:firstColumn="1" w:lastColumn="0" w:noHBand="0" w:noVBand="1"/>
      </w:tblPr>
      <w:tblGrid>
        <w:gridCol w:w="630"/>
        <w:gridCol w:w="4230"/>
        <w:gridCol w:w="270"/>
        <w:gridCol w:w="630"/>
        <w:gridCol w:w="3685"/>
      </w:tblGrid>
      <w:tr w:rsidR="00596DB7" w:rsidRPr="00C40939" w:rsidTr="00FC2027">
        <w:tc>
          <w:tcPr>
            <w:tcW w:w="630" w:type="dxa"/>
          </w:tcPr>
          <w:p w:rsidR="00C40939" w:rsidRPr="00C40939" w:rsidRDefault="00C40939" w:rsidP="00FC2027">
            <w:pPr>
              <w:pStyle w:val="Level4"/>
              <w:numPr>
                <w:ilvl w:val="0"/>
                <w:numId w:val="0"/>
              </w:numPr>
              <w:tabs>
                <w:tab w:val="clear" w:pos="2160"/>
                <w:tab w:val="left" w:pos="1440"/>
              </w:tabs>
              <w:spacing w:before="60" w:after="60"/>
              <w:ind w:right="-468"/>
              <w:jc w:val="both"/>
              <w:rPr>
                <w:szCs w:val="24"/>
              </w:rPr>
            </w:pPr>
            <w:r>
              <w:rPr>
                <w:szCs w:val="24"/>
              </w:rPr>
              <w:t>6.</w:t>
            </w:r>
          </w:p>
        </w:tc>
        <w:tc>
          <w:tcPr>
            <w:tcW w:w="4230" w:type="dxa"/>
          </w:tcPr>
          <w:p w:rsidR="00C40939" w:rsidRPr="00C40939" w:rsidRDefault="00C40939" w:rsidP="00FC2027">
            <w:pPr>
              <w:pStyle w:val="Level4"/>
              <w:numPr>
                <w:ilvl w:val="0"/>
                <w:numId w:val="0"/>
              </w:numPr>
              <w:tabs>
                <w:tab w:val="clear" w:pos="2160"/>
              </w:tabs>
              <w:spacing w:before="60" w:after="60"/>
              <w:ind w:right="72"/>
              <w:rPr>
                <w:szCs w:val="24"/>
              </w:rPr>
            </w:pPr>
            <w:r>
              <w:rPr>
                <w:szCs w:val="24"/>
              </w:rPr>
              <w:t xml:space="preserve">Submitting False Claims; </w:t>
            </w:r>
            <w:r w:rsidRPr="00C40939">
              <w:rPr>
                <w:szCs w:val="24"/>
              </w:rPr>
              <w:t>Monetary Penalties.</w:t>
            </w:r>
          </w:p>
        </w:tc>
        <w:tc>
          <w:tcPr>
            <w:tcW w:w="270" w:type="dxa"/>
          </w:tcPr>
          <w:p w:rsidR="00C40939" w:rsidRPr="00C40939" w:rsidRDefault="00C40939" w:rsidP="00FC2027">
            <w:pPr>
              <w:pStyle w:val="Level4"/>
              <w:numPr>
                <w:ilvl w:val="0"/>
                <w:numId w:val="0"/>
              </w:numPr>
              <w:tabs>
                <w:tab w:val="left" w:pos="1440"/>
              </w:tabs>
              <w:spacing w:before="60" w:after="60"/>
              <w:ind w:left="720"/>
              <w:rPr>
                <w:szCs w:val="24"/>
              </w:rPr>
            </w:pPr>
          </w:p>
        </w:tc>
        <w:tc>
          <w:tcPr>
            <w:tcW w:w="630" w:type="dxa"/>
          </w:tcPr>
          <w:p w:rsidR="00C40939" w:rsidRPr="00C40939" w:rsidRDefault="00C40939" w:rsidP="00FC2027">
            <w:pPr>
              <w:pStyle w:val="Level4"/>
              <w:numPr>
                <w:ilvl w:val="0"/>
                <w:numId w:val="0"/>
              </w:numPr>
              <w:tabs>
                <w:tab w:val="clear" w:pos="2160"/>
                <w:tab w:val="clear" w:pos="3600"/>
              </w:tabs>
              <w:spacing w:before="60" w:after="60"/>
              <w:ind w:left="72"/>
              <w:rPr>
                <w:szCs w:val="24"/>
              </w:rPr>
            </w:pPr>
            <w:r>
              <w:rPr>
                <w:szCs w:val="24"/>
              </w:rPr>
              <w:t>15.</w:t>
            </w:r>
          </w:p>
        </w:tc>
        <w:tc>
          <w:tcPr>
            <w:tcW w:w="3685" w:type="dxa"/>
          </w:tcPr>
          <w:p w:rsidR="00C40939" w:rsidRPr="00C40939" w:rsidRDefault="00C40939" w:rsidP="00FC2027">
            <w:pPr>
              <w:pStyle w:val="Level4"/>
              <w:numPr>
                <w:ilvl w:val="0"/>
                <w:numId w:val="0"/>
              </w:numPr>
              <w:tabs>
                <w:tab w:val="left" w:pos="1440"/>
              </w:tabs>
              <w:spacing w:before="60" w:after="60"/>
              <w:ind w:left="72"/>
              <w:rPr>
                <w:szCs w:val="24"/>
              </w:rPr>
            </w:pPr>
            <w:r w:rsidRPr="00C40939">
              <w:rPr>
                <w:szCs w:val="24"/>
              </w:rPr>
              <w:t>Audit and Inspection of Records.</w:t>
            </w:r>
            <w:r>
              <w:rPr>
                <w:szCs w:val="24"/>
              </w:rPr>
              <w:t xml:space="preserve"> </w:t>
            </w:r>
          </w:p>
        </w:tc>
      </w:tr>
      <w:tr w:rsidR="00596DB7" w:rsidRPr="00C40939" w:rsidTr="00FC2027">
        <w:tc>
          <w:tcPr>
            <w:tcW w:w="630" w:type="dxa"/>
          </w:tcPr>
          <w:p w:rsidR="00C40939" w:rsidRPr="00C40939" w:rsidRDefault="00C40939" w:rsidP="00FC2027">
            <w:pPr>
              <w:pStyle w:val="Level4"/>
              <w:numPr>
                <w:ilvl w:val="0"/>
                <w:numId w:val="0"/>
              </w:numPr>
              <w:tabs>
                <w:tab w:val="clear" w:pos="2160"/>
                <w:tab w:val="left" w:pos="1440"/>
              </w:tabs>
              <w:spacing w:before="0" w:after="60"/>
              <w:ind w:right="-468"/>
              <w:jc w:val="both"/>
              <w:rPr>
                <w:szCs w:val="24"/>
              </w:rPr>
            </w:pPr>
            <w:r>
              <w:rPr>
                <w:szCs w:val="24"/>
              </w:rPr>
              <w:t>8.</w:t>
            </w:r>
          </w:p>
        </w:tc>
        <w:tc>
          <w:tcPr>
            <w:tcW w:w="4230" w:type="dxa"/>
          </w:tcPr>
          <w:p w:rsidR="00C40939" w:rsidRPr="00C40939" w:rsidRDefault="00C40939" w:rsidP="00732050">
            <w:pPr>
              <w:pStyle w:val="Level4"/>
              <w:numPr>
                <w:ilvl w:val="0"/>
                <w:numId w:val="0"/>
              </w:numPr>
              <w:tabs>
                <w:tab w:val="left" w:pos="1440"/>
              </w:tabs>
              <w:spacing w:before="0" w:after="60"/>
              <w:rPr>
                <w:szCs w:val="24"/>
              </w:rPr>
            </w:pPr>
            <w:r>
              <w:rPr>
                <w:szCs w:val="24"/>
              </w:rPr>
              <w:t>Indemnification.</w:t>
            </w:r>
          </w:p>
        </w:tc>
        <w:tc>
          <w:tcPr>
            <w:tcW w:w="270" w:type="dxa"/>
          </w:tcPr>
          <w:p w:rsidR="00C40939" w:rsidRPr="00C40939" w:rsidRDefault="00C40939" w:rsidP="00732050">
            <w:pPr>
              <w:pStyle w:val="Level4"/>
              <w:numPr>
                <w:ilvl w:val="0"/>
                <w:numId w:val="0"/>
              </w:numPr>
              <w:tabs>
                <w:tab w:val="left" w:pos="1440"/>
              </w:tabs>
              <w:spacing w:before="0" w:after="60"/>
              <w:ind w:left="810"/>
              <w:rPr>
                <w:szCs w:val="24"/>
              </w:rPr>
            </w:pPr>
          </w:p>
        </w:tc>
        <w:tc>
          <w:tcPr>
            <w:tcW w:w="630" w:type="dxa"/>
          </w:tcPr>
          <w:p w:rsidR="00C40939" w:rsidRPr="00C40939" w:rsidRDefault="00C40939" w:rsidP="00732050">
            <w:pPr>
              <w:pStyle w:val="Level4"/>
              <w:numPr>
                <w:ilvl w:val="0"/>
                <w:numId w:val="0"/>
              </w:numPr>
              <w:tabs>
                <w:tab w:val="clear" w:pos="2160"/>
                <w:tab w:val="clear" w:pos="3600"/>
              </w:tabs>
              <w:spacing w:before="0" w:after="60"/>
              <w:ind w:left="72"/>
              <w:rPr>
                <w:szCs w:val="24"/>
              </w:rPr>
            </w:pPr>
            <w:r>
              <w:rPr>
                <w:szCs w:val="24"/>
              </w:rPr>
              <w:t>16.</w:t>
            </w:r>
          </w:p>
        </w:tc>
        <w:tc>
          <w:tcPr>
            <w:tcW w:w="3685" w:type="dxa"/>
          </w:tcPr>
          <w:p w:rsidR="00C40939" w:rsidRPr="00C40939" w:rsidRDefault="00C40939" w:rsidP="00596DB7">
            <w:pPr>
              <w:pStyle w:val="Level4"/>
              <w:numPr>
                <w:ilvl w:val="0"/>
                <w:numId w:val="0"/>
              </w:numPr>
              <w:tabs>
                <w:tab w:val="left" w:pos="1440"/>
              </w:tabs>
              <w:spacing w:before="0" w:after="60"/>
              <w:ind w:left="72"/>
              <w:rPr>
                <w:szCs w:val="24"/>
              </w:rPr>
            </w:pPr>
            <w:r w:rsidRPr="00C40939">
              <w:rPr>
                <w:szCs w:val="24"/>
              </w:rPr>
              <w:t xml:space="preserve">Taxes.  </w:t>
            </w:r>
          </w:p>
        </w:tc>
      </w:tr>
      <w:tr w:rsidR="00596DB7" w:rsidRPr="00C40939" w:rsidTr="00FC2027">
        <w:tc>
          <w:tcPr>
            <w:tcW w:w="630" w:type="dxa"/>
          </w:tcPr>
          <w:p w:rsidR="00C40939" w:rsidRPr="00C40939" w:rsidRDefault="00C40939" w:rsidP="00FC2027">
            <w:pPr>
              <w:pStyle w:val="Level4"/>
              <w:numPr>
                <w:ilvl w:val="0"/>
                <w:numId w:val="0"/>
              </w:numPr>
              <w:tabs>
                <w:tab w:val="clear" w:pos="2160"/>
                <w:tab w:val="left" w:pos="1440"/>
              </w:tabs>
              <w:spacing w:before="0" w:after="60"/>
              <w:ind w:right="-468"/>
              <w:jc w:val="both"/>
              <w:rPr>
                <w:szCs w:val="24"/>
              </w:rPr>
            </w:pPr>
            <w:r>
              <w:rPr>
                <w:szCs w:val="24"/>
              </w:rPr>
              <w:t>9.</w:t>
            </w:r>
          </w:p>
        </w:tc>
        <w:tc>
          <w:tcPr>
            <w:tcW w:w="4230" w:type="dxa"/>
          </w:tcPr>
          <w:p w:rsidR="00C40939" w:rsidRPr="00C40939" w:rsidRDefault="00C40939" w:rsidP="00732050">
            <w:pPr>
              <w:spacing w:after="60" w:line="240" w:lineRule="auto"/>
              <w:rPr>
                <w:szCs w:val="24"/>
              </w:rPr>
            </w:pPr>
            <w:r w:rsidRPr="00C40939">
              <w:rPr>
                <w:szCs w:val="24"/>
              </w:rPr>
              <w:t>Liability for Damage to Equipment.</w:t>
            </w:r>
          </w:p>
        </w:tc>
        <w:tc>
          <w:tcPr>
            <w:tcW w:w="270" w:type="dxa"/>
          </w:tcPr>
          <w:p w:rsidR="00C40939" w:rsidRPr="00C40939" w:rsidRDefault="00C40939" w:rsidP="00732050">
            <w:pPr>
              <w:pStyle w:val="Level4"/>
              <w:numPr>
                <w:ilvl w:val="0"/>
                <w:numId w:val="0"/>
              </w:numPr>
              <w:tabs>
                <w:tab w:val="left" w:pos="1440"/>
              </w:tabs>
              <w:spacing w:before="0" w:after="60"/>
              <w:rPr>
                <w:szCs w:val="24"/>
              </w:rPr>
            </w:pPr>
          </w:p>
        </w:tc>
        <w:tc>
          <w:tcPr>
            <w:tcW w:w="630" w:type="dxa"/>
          </w:tcPr>
          <w:p w:rsidR="00C40939" w:rsidRPr="00C40939" w:rsidRDefault="00C40939" w:rsidP="00732050">
            <w:pPr>
              <w:pStyle w:val="Level4"/>
              <w:numPr>
                <w:ilvl w:val="0"/>
                <w:numId w:val="0"/>
              </w:numPr>
              <w:tabs>
                <w:tab w:val="clear" w:pos="2160"/>
                <w:tab w:val="clear" w:pos="3600"/>
              </w:tabs>
              <w:spacing w:before="0" w:after="60"/>
              <w:ind w:left="72"/>
              <w:rPr>
                <w:szCs w:val="24"/>
              </w:rPr>
            </w:pPr>
            <w:r>
              <w:rPr>
                <w:szCs w:val="24"/>
              </w:rPr>
              <w:t>21.</w:t>
            </w:r>
          </w:p>
        </w:tc>
        <w:tc>
          <w:tcPr>
            <w:tcW w:w="3685" w:type="dxa"/>
          </w:tcPr>
          <w:p w:rsidR="00C40939" w:rsidRPr="00C40939" w:rsidRDefault="00C40939" w:rsidP="00596DB7">
            <w:pPr>
              <w:spacing w:after="60" w:line="240" w:lineRule="auto"/>
              <w:ind w:left="72"/>
              <w:rPr>
                <w:szCs w:val="24"/>
              </w:rPr>
            </w:pPr>
            <w:r w:rsidRPr="00C40939">
              <w:rPr>
                <w:szCs w:val="24"/>
              </w:rPr>
              <w:t xml:space="preserve">Waiver.  </w:t>
            </w:r>
          </w:p>
        </w:tc>
      </w:tr>
      <w:tr w:rsidR="00596DB7" w:rsidRPr="00C40939" w:rsidTr="00FC2027">
        <w:tc>
          <w:tcPr>
            <w:tcW w:w="630" w:type="dxa"/>
          </w:tcPr>
          <w:p w:rsidR="00C40939" w:rsidRPr="00C40939" w:rsidRDefault="00C40939" w:rsidP="00FC2027">
            <w:pPr>
              <w:pStyle w:val="Level4"/>
              <w:numPr>
                <w:ilvl w:val="0"/>
                <w:numId w:val="0"/>
              </w:numPr>
              <w:tabs>
                <w:tab w:val="clear" w:pos="2160"/>
                <w:tab w:val="left" w:pos="1440"/>
              </w:tabs>
              <w:spacing w:before="0" w:after="60"/>
              <w:ind w:right="-468"/>
              <w:jc w:val="both"/>
              <w:rPr>
                <w:szCs w:val="24"/>
              </w:rPr>
            </w:pPr>
            <w:r>
              <w:rPr>
                <w:szCs w:val="24"/>
              </w:rPr>
              <w:t>10</w:t>
            </w:r>
          </w:p>
        </w:tc>
        <w:tc>
          <w:tcPr>
            <w:tcW w:w="4230" w:type="dxa"/>
          </w:tcPr>
          <w:p w:rsidR="00C40939" w:rsidRPr="00C40939" w:rsidRDefault="00C40939" w:rsidP="00732050">
            <w:pPr>
              <w:spacing w:after="60" w:line="240" w:lineRule="auto"/>
              <w:rPr>
                <w:szCs w:val="24"/>
              </w:rPr>
            </w:pPr>
            <w:r w:rsidRPr="00C40939">
              <w:rPr>
                <w:szCs w:val="24"/>
              </w:rPr>
              <w:t>Incidental and Consequential</w:t>
            </w:r>
            <w:r>
              <w:rPr>
                <w:szCs w:val="24"/>
              </w:rPr>
              <w:t xml:space="preserve"> </w:t>
            </w:r>
            <w:r w:rsidRPr="00C40939">
              <w:rPr>
                <w:szCs w:val="24"/>
              </w:rPr>
              <w:t>Damages.</w:t>
            </w:r>
          </w:p>
        </w:tc>
        <w:tc>
          <w:tcPr>
            <w:tcW w:w="270" w:type="dxa"/>
          </w:tcPr>
          <w:p w:rsidR="00C40939" w:rsidRPr="00C40939" w:rsidRDefault="00C40939" w:rsidP="00732050">
            <w:pPr>
              <w:pStyle w:val="Level4"/>
              <w:numPr>
                <w:ilvl w:val="0"/>
                <w:numId w:val="0"/>
              </w:numPr>
              <w:tabs>
                <w:tab w:val="left" w:pos="1440"/>
              </w:tabs>
              <w:spacing w:before="0" w:after="60"/>
              <w:rPr>
                <w:szCs w:val="24"/>
              </w:rPr>
            </w:pPr>
          </w:p>
        </w:tc>
        <w:tc>
          <w:tcPr>
            <w:tcW w:w="630" w:type="dxa"/>
          </w:tcPr>
          <w:p w:rsidR="00C40939" w:rsidRPr="00C40939" w:rsidRDefault="00C40939" w:rsidP="00732050">
            <w:pPr>
              <w:pStyle w:val="Level4"/>
              <w:numPr>
                <w:ilvl w:val="0"/>
                <w:numId w:val="0"/>
              </w:numPr>
              <w:tabs>
                <w:tab w:val="clear" w:pos="2160"/>
                <w:tab w:val="clear" w:pos="3600"/>
              </w:tabs>
              <w:spacing w:before="0" w:after="60"/>
              <w:ind w:left="72"/>
              <w:rPr>
                <w:szCs w:val="24"/>
              </w:rPr>
            </w:pPr>
            <w:r>
              <w:rPr>
                <w:szCs w:val="24"/>
              </w:rPr>
              <w:t>22.</w:t>
            </w:r>
          </w:p>
        </w:tc>
        <w:tc>
          <w:tcPr>
            <w:tcW w:w="3685" w:type="dxa"/>
          </w:tcPr>
          <w:p w:rsidR="00C40939" w:rsidRPr="00C40939" w:rsidRDefault="00C40939" w:rsidP="00596DB7">
            <w:pPr>
              <w:spacing w:after="60" w:line="240" w:lineRule="auto"/>
              <w:ind w:left="72"/>
              <w:rPr>
                <w:szCs w:val="24"/>
              </w:rPr>
            </w:pPr>
            <w:r w:rsidRPr="00C40939">
              <w:rPr>
                <w:szCs w:val="24"/>
              </w:rPr>
              <w:t xml:space="preserve">Governing Law.  </w:t>
            </w:r>
          </w:p>
        </w:tc>
      </w:tr>
      <w:tr w:rsidR="00596DB7" w:rsidRPr="00C40939" w:rsidTr="00FC2027">
        <w:tc>
          <w:tcPr>
            <w:tcW w:w="630" w:type="dxa"/>
          </w:tcPr>
          <w:p w:rsidR="00C40939" w:rsidRPr="00C40939" w:rsidRDefault="00C40939" w:rsidP="00FC2027">
            <w:pPr>
              <w:pStyle w:val="Level4"/>
              <w:numPr>
                <w:ilvl w:val="0"/>
                <w:numId w:val="0"/>
              </w:numPr>
              <w:tabs>
                <w:tab w:val="clear" w:pos="2160"/>
                <w:tab w:val="left" w:pos="1440"/>
              </w:tabs>
              <w:spacing w:before="0" w:after="60"/>
              <w:ind w:right="-468"/>
              <w:jc w:val="both"/>
              <w:rPr>
                <w:szCs w:val="24"/>
              </w:rPr>
            </w:pPr>
            <w:r>
              <w:rPr>
                <w:szCs w:val="24"/>
              </w:rPr>
              <w:t>11.</w:t>
            </w:r>
          </w:p>
        </w:tc>
        <w:tc>
          <w:tcPr>
            <w:tcW w:w="4230" w:type="dxa"/>
          </w:tcPr>
          <w:p w:rsidR="00C40939" w:rsidRPr="00C40939" w:rsidRDefault="00C40939" w:rsidP="00732050">
            <w:pPr>
              <w:spacing w:after="60" w:line="240" w:lineRule="auto"/>
              <w:rPr>
                <w:szCs w:val="24"/>
              </w:rPr>
            </w:pPr>
            <w:r w:rsidRPr="00C40939">
              <w:rPr>
                <w:szCs w:val="24"/>
              </w:rPr>
              <w:t>Insurance</w:t>
            </w:r>
          </w:p>
        </w:tc>
        <w:tc>
          <w:tcPr>
            <w:tcW w:w="270" w:type="dxa"/>
          </w:tcPr>
          <w:p w:rsidR="00C40939" w:rsidRPr="00C40939" w:rsidRDefault="00C40939" w:rsidP="00732050">
            <w:pPr>
              <w:pStyle w:val="Level4"/>
              <w:numPr>
                <w:ilvl w:val="0"/>
                <w:numId w:val="0"/>
              </w:numPr>
              <w:tabs>
                <w:tab w:val="left" w:pos="1440"/>
              </w:tabs>
              <w:spacing w:before="0" w:after="60"/>
              <w:rPr>
                <w:szCs w:val="24"/>
              </w:rPr>
            </w:pPr>
          </w:p>
        </w:tc>
        <w:tc>
          <w:tcPr>
            <w:tcW w:w="630" w:type="dxa"/>
          </w:tcPr>
          <w:p w:rsidR="00C40939" w:rsidRPr="00C40939" w:rsidRDefault="00C40939" w:rsidP="00732050">
            <w:pPr>
              <w:pStyle w:val="Level4"/>
              <w:numPr>
                <w:ilvl w:val="0"/>
                <w:numId w:val="0"/>
              </w:numPr>
              <w:tabs>
                <w:tab w:val="clear" w:pos="2160"/>
                <w:tab w:val="clear" w:pos="3600"/>
              </w:tabs>
              <w:spacing w:before="0" w:after="60"/>
              <w:ind w:left="72"/>
              <w:rPr>
                <w:szCs w:val="24"/>
              </w:rPr>
            </w:pPr>
            <w:r>
              <w:rPr>
                <w:szCs w:val="24"/>
              </w:rPr>
              <w:t>23.</w:t>
            </w:r>
          </w:p>
        </w:tc>
        <w:tc>
          <w:tcPr>
            <w:tcW w:w="3685" w:type="dxa"/>
          </w:tcPr>
          <w:p w:rsidR="00C40939" w:rsidRPr="00C40939" w:rsidRDefault="00C40939" w:rsidP="00596DB7">
            <w:pPr>
              <w:pStyle w:val="Level4"/>
              <w:numPr>
                <w:ilvl w:val="0"/>
                <w:numId w:val="0"/>
              </w:numPr>
              <w:tabs>
                <w:tab w:val="left" w:pos="1440"/>
              </w:tabs>
              <w:spacing w:before="0" w:after="60"/>
              <w:ind w:left="72"/>
              <w:rPr>
                <w:szCs w:val="24"/>
              </w:rPr>
            </w:pPr>
            <w:r w:rsidRPr="00C40939">
              <w:rPr>
                <w:szCs w:val="24"/>
              </w:rPr>
              <w:t xml:space="preserve">Entire Agreement; Modifications.  </w:t>
            </w:r>
          </w:p>
        </w:tc>
      </w:tr>
      <w:tr w:rsidR="00596DB7" w:rsidRPr="00C40939" w:rsidTr="00FC2027">
        <w:tc>
          <w:tcPr>
            <w:tcW w:w="630" w:type="dxa"/>
          </w:tcPr>
          <w:p w:rsidR="00C40939" w:rsidRPr="00C40939" w:rsidRDefault="00C40939" w:rsidP="00FC2027">
            <w:pPr>
              <w:pStyle w:val="Level4"/>
              <w:numPr>
                <w:ilvl w:val="0"/>
                <w:numId w:val="0"/>
              </w:numPr>
              <w:tabs>
                <w:tab w:val="clear" w:pos="2160"/>
                <w:tab w:val="left" w:pos="1440"/>
              </w:tabs>
              <w:spacing w:before="0" w:after="60"/>
              <w:ind w:right="-468"/>
              <w:jc w:val="both"/>
              <w:rPr>
                <w:szCs w:val="24"/>
              </w:rPr>
            </w:pPr>
            <w:r>
              <w:rPr>
                <w:szCs w:val="24"/>
              </w:rPr>
              <w:t>12.</w:t>
            </w:r>
          </w:p>
        </w:tc>
        <w:tc>
          <w:tcPr>
            <w:tcW w:w="4230" w:type="dxa"/>
          </w:tcPr>
          <w:p w:rsidR="00C40939" w:rsidRPr="00C40939" w:rsidRDefault="00C40939" w:rsidP="00732050">
            <w:pPr>
              <w:spacing w:after="60" w:line="240" w:lineRule="auto"/>
              <w:rPr>
                <w:szCs w:val="24"/>
              </w:rPr>
            </w:pPr>
            <w:r w:rsidRPr="00C40939">
              <w:rPr>
                <w:szCs w:val="24"/>
              </w:rPr>
              <w:t>Provisions Controlling.</w:t>
            </w:r>
          </w:p>
        </w:tc>
        <w:tc>
          <w:tcPr>
            <w:tcW w:w="270" w:type="dxa"/>
          </w:tcPr>
          <w:p w:rsidR="00C40939" w:rsidRPr="00C40939" w:rsidRDefault="00C40939" w:rsidP="00732050">
            <w:pPr>
              <w:pStyle w:val="Level4"/>
              <w:numPr>
                <w:ilvl w:val="0"/>
                <w:numId w:val="0"/>
              </w:numPr>
              <w:tabs>
                <w:tab w:val="left" w:pos="1440"/>
              </w:tabs>
              <w:spacing w:before="0" w:after="60"/>
              <w:rPr>
                <w:szCs w:val="24"/>
              </w:rPr>
            </w:pPr>
          </w:p>
        </w:tc>
        <w:tc>
          <w:tcPr>
            <w:tcW w:w="630" w:type="dxa"/>
          </w:tcPr>
          <w:p w:rsidR="00C40939" w:rsidRPr="00C40939" w:rsidRDefault="00C40939" w:rsidP="00732050">
            <w:pPr>
              <w:pStyle w:val="Level4"/>
              <w:numPr>
                <w:ilvl w:val="0"/>
                <w:numId w:val="0"/>
              </w:numPr>
              <w:tabs>
                <w:tab w:val="clear" w:pos="2160"/>
                <w:tab w:val="clear" w:pos="3600"/>
              </w:tabs>
              <w:spacing w:before="0" w:after="60"/>
              <w:ind w:left="72"/>
              <w:rPr>
                <w:szCs w:val="24"/>
              </w:rPr>
            </w:pPr>
            <w:r>
              <w:rPr>
                <w:szCs w:val="24"/>
              </w:rPr>
              <w:t>38.</w:t>
            </w:r>
          </w:p>
        </w:tc>
        <w:tc>
          <w:tcPr>
            <w:tcW w:w="3685" w:type="dxa"/>
          </w:tcPr>
          <w:p w:rsidR="00C40939" w:rsidRDefault="00C40939" w:rsidP="00596DB7">
            <w:pPr>
              <w:pStyle w:val="Level4"/>
              <w:numPr>
                <w:ilvl w:val="0"/>
                <w:numId w:val="0"/>
              </w:numPr>
              <w:tabs>
                <w:tab w:val="left" w:pos="1440"/>
              </w:tabs>
              <w:spacing w:before="0" w:after="60"/>
              <w:ind w:left="72"/>
              <w:rPr>
                <w:szCs w:val="24"/>
              </w:rPr>
            </w:pPr>
            <w:r w:rsidRPr="00C40939">
              <w:rPr>
                <w:szCs w:val="24"/>
              </w:rPr>
              <w:t xml:space="preserve">Protection of Private Information.  </w:t>
            </w:r>
          </w:p>
          <w:p w:rsidR="00FC2027" w:rsidRPr="00C40939" w:rsidRDefault="00FC2027" w:rsidP="00596DB7">
            <w:pPr>
              <w:pStyle w:val="Level4"/>
              <w:numPr>
                <w:ilvl w:val="0"/>
                <w:numId w:val="0"/>
              </w:numPr>
              <w:tabs>
                <w:tab w:val="left" w:pos="1440"/>
              </w:tabs>
              <w:spacing w:before="0" w:after="60"/>
              <w:ind w:left="72"/>
              <w:rPr>
                <w:szCs w:val="24"/>
              </w:rPr>
            </w:pPr>
          </w:p>
        </w:tc>
      </w:tr>
    </w:tbl>
    <w:p w:rsidR="00FF14C5" w:rsidRPr="00C40939" w:rsidRDefault="00FF14C5" w:rsidP="00C40939">
      <w:pPr>
        <w:pStyle w:val="Level3"/>
        <w:tabs>
          <w:tab w:val="left" w:pos="720"/>
        </w:tabs>
        <w:spacing w:line="240" w:lineRule="auto"/>
        <w:ind w:left="0" w:firstLine="0"/>
        <w:rPr>
          <w:szCs w:val="24"/>
        </w:rPr>
      </w:pPr>
      <w:r w:rsidRPr="00C40939">
        <w:rPr>
          <w:b/>
          <w:szCs w:val="24"/>
        </w:rPr>
        <w:t>Audit and Inspection of Records.</w:t>
      </w:r>
      <w:r w:rsidRPr="00C40939">
        <w:rPr>
          <w:szCs w:val="24"/>
        </w:rPr>
        <w:t xml:space="preserve">  Contractor agrees to maintain and make available to the City, during regular business hours, accurate books and accounting records relating to its work under this Agreement.  Contractor will permit City to audit, examine and make excerpts and transcripts from such books and records, and to make audits of all invoices, materials, payrolls, records or personnel and other data related to all other matters covered by this Agreement, whether funded in whole or in part under this Agreement.  Contractor shall maintain such data and records in an accessible location and condition for a period of not less than five years after final payment under this Agreement or until after final audit has been resolved, whichever is later.  The State of </w:t>
      </w:r>
      <w:smartTag w:uri="urn:schemas-microsoft-com:office:smarttags" w:element="State">
        <w:smartTag w:uri="urn:schemas-microsoft-com:office:smarttags" w:element="place">
          <w:r w:rsidRPr="00C40939">
            <w:rPr>
              <w:szCs w:val="24"/>
            </w:rPr>
            <w:t>California</w:t>
          </w:r>
        </w:smartTag>
      </w:smartTag>
      <w:r w:rsidRPr="00C40939">
        <w:rPr>
          <w:szCs w:val="24"/>
        </w:rPr>
        <w:t xml:space="preserve"> or any federal agency having an interest in the subject of this Agreement shall have the same rights conferred upon City by this Section.</w:t>
      </w:r>
    </w:p>
    <w:p w:rsidR="00FF14C5" w:rsidRPr="00C40939" w:rsidRDefault="00FF14C5" w:rsidP="00C40939">
      <w:pPr>
        <w:pStyle w:val="Level3"/>
        <w:tabs>
          <w:tab w:val="left" w:pos="720"/>
        </w:tabs>
        <w:spacing w:line="240" w:lineRule="auto"/>
        <w:ind w:left="0" w:firstLine="0"/>
        <w:rPr>
          <w:szCs w:val="24"/>
        </w:rPr>
      </w:pPr>
      <w:r w:rsidRPr="00C40939">
        <w:rPr>
          <w:b/>
          <w:szCs w:val="24"/>
        </w:rPr>
        <w:t>Taxes.</w:t>
      </w:r>
      <w:r w:rsidRPr="00C40939">
        <w:rPr>
          <w:szCs w:val="24"/>
        </w:rPr>
        <w:t xml:space="preserve">  The City will only pay </w:t>
      </w:r>
      <w:smartTag w:uri="urn:schemas-microsoft-com:office:smarttags" w:element="State">
        <w:smartTag w:uri="urn:schemas-microsoft-com:office:smarttags" w:element="place">
          <w:r w:rsidRPr="00C40939">
            <w:rPr>
              <w:szCs w:val="24"/>
            </w:rPr>
            <w:t>California</w:t>
          </w:r>
        </w:smartTag>
      </w:smartTag>
      <w:r w:rsidRPr="00C40939">
        <w:rPr>
          <w:szCs w:val="24"/>
        </w:rPr>
        <w:t xml:space="preserve"> sales and use taxes.  The Contractor is to add </w:t>
      </w:r>
      <w:smartTag w:uri="urn:schemas-microsoft-com:office:smarttags" w:element="State">
        <w:smartTag w:uri="urn:schemas-microsoft-com:office:smarttags" w:element="place">
          <w:r w:rsidRPr="00C40939">
            <w:rPr>
              <w:szCs w:val="24"/>
            </w:rPr>
            <w:t>California</w:t>
          </w:r>
        </w:smartTag>
      </w:smartTag>
      <w:r w:rsidRPr="00C40939">
        <w:rPr>
          <w:szCs w:val="24"/>
        </w:rPr>
        <w:t xml:space="preserve"> sales and use taxes, if appropriate and lawful, to the monthly payment and the tax must be properly identified on each monthly invoice.  Any other taxes now in effect which may be levied upon this Agreement, the transaction, or the Equipment or services delivered pursuant hereto shall be borne by the Contractor.  In the event any taxes or charges are enacted after the date of execution of this Agreement, those taxes or charges shall be borne as mutually agreed.  The Contractor will indemnify and hold City harmless from any fines, penalties or interest thereon imposed during the Agreement term or in connection with termination of the Agreement by any federal, State or local government or taxing authority.  The taxes covered by this Section shall only include those attributable to the equipment.  Under no circumstances will the City pay any taxes imposed on, based on, or measured by the net income of the Contractor.</w:t>
      </w:r>
    </w:p>
    <w:p w:rsidR="00FF14C5" w:rsidRPr="00C40939" w:rsidRDefault="00FF14C5" w:rsidP="00C40939">
      <w:pPr>
        <w:pStyle w:val="Level3"/>
        <w:tabs>
          <w:tab w:val="left" w:pos="720"/>
        </w:tabs>
        <w:spacing w:line="240" w:lineRule="auto"/>
        <w:ind w:left="0" w:firstLine="0"/>
        <w:rPr>
          <w:szCs w:val="24"/>
        </w:rPr>
      </w:pPr>
      <w:r w:rsidRPr="00C40939">
        <w:rPr>
          <w:b/>
          <w:szCs w:val="24"/>
        </w:rPr>
        <w:lastRenderedPageBreak/>
        <w:t>Assignment.</w:t>
      </w:r>
      <w:r w:rsidRPr="00C40939">
        <w:rPr>
          <w:szCs w:val="24"/>
        </w:rPr>
        <w:t xml:space="preserve">  Notwithstanding any other provision in this Agreement, in no event shall all or any portion of this Agreement be assigned without the prior written approval of Purchasing and the City Attorney.</w:t>
      </w:r>
    </w:p>
    <w:p w:rsidR="00FF14C5" w:rsidRPr="00C40939" w:rsidRDefault="00FF14C5" w:rsidP="00C40939">
      <w:pPr>
        <w:pStyle w:val="Level3"/>
        <w:tabs>
          <w:tab w:val="left" w:pos="720"/>
        </w:tabs>
        <w:spacing w:line="240" w:lineRule="auto"/>
        <w:ind w:left="0" w:firstLine="0"/>
        <w:rPr>
          <w:szCs w:val="24"/>
        </w:rPr>
      </w:pPr>
      <w:r w:rsidRPr="00C40939">
        <w:rPr>
          <w:b/>
          <w:szCs w:val="24"/>
        </w:rPr>
        <w:t>Limitations on Contributions.</w:t>
      </w:r>
      <w:r w:rsidRPr="00C40939">
        <w:rPr>
          <w:szCs w:val="24"/>
        </w:rPr>
        <w:t xml:space="preserve">  Through execution of this Agreement, Contractor acknowledges that it is familiar with section 1.126 of the City’s Campaign and Governmental Conduct Code, which prohibits any person who contracts with the City for the rendition of personal services, for the furnishing of any material, supplies or equipment, for the sale or lease of any land or building, or for a grant, loan or loan guarantee, from making any campaign contribution to (1) an individual holding a City elective office if the contract must be approved by the individual, a board on which that individual serves, or the board of a state agency on which an appointee of that individual serves, (2) a candidate for the office held by such individual, or (3) a committee controlled by such individual, at any time from the commencement of negotiations for the contract until the later of either the termination of negotiations for such contract or six months after the date the contract is approved.  Contractor acknowledges that the foregoing restriction applies only if the contract or a combination or series of contracts approved by the same individual or board in a fiscal year have a total anticipated or actual value of $50,000 or more.  Contractor further acknowledges that the prohibition on contributions applies to each prospective party to the contract; each member of Contractor’s board of directors; Contractor’s chairperson, chief executive officer, chief financial officer and chief operating officer; any person with an ownership interest of more than 20 percent in Contractor; any subcontractor listed in the bid or contract; and any committee that is sponsored or controlled by Contractor.  Additionally, Contractor acknowledges that Contractor must inform each of the persons described in the preceding sentence of the prohibitions contained in Section 1.126.  Contractor further agrees to provide to City the names of each person, entity or committee described above.</w:t>
      </w:r>
    </w:p>
    <w:p w:rsidR="00FF14C5" w:rsidRPr="00C40939" w:rsidRDefault="00FF14C5" w:rsidP="00C40939">
      <w:pPr>
        <w:pStyle w:val="Level3"/>
        <w:tabs>
          <w:tab w:val="left" w:pos="720"/>
        </w:tabs>
        <w:spacing w:line="240" w:lineRule="auto"/>
        <w:ind w:left="0" w:firstLine="0"/>
        <w:rPr>
          <w:szCs w:val="24"/>
        </w:rPr>
      </w:pPr>
      <w:r w:rsidRPr="00C40939">
        <w:rPr>
          <w:b/>
          <w:szCs w:val="24"/>
        </w:rPr>
        <w:t>Notices to the Parties.</w:t>
      </w:r>
      <w:r w:rsidRPr="00C40939">
        <w:rPr>
          <w:szCs w:val="24"/>
        </w:rPr>
        <w:t xml:space="preserve">  </w:t>
      </w:r>
      <w:r w:rsidRPr="00C40939">
        <w:rPr>
          <w:szCs w:val="24"/>
        </w:rPr>
        <w:tab/>
        <w:t xml:space="preserve">Unless otherwise indicated elsewhere in this Agreement, all written communications sent by the parties may be by </w:t>
      </w:r>
      <w:smartTag w:uri="urn:schemas-microsoft-com:office:smarttags" w:element="country-region">
        <w:smartTag w:uri="urn:schemas-microsoft-com:office:smarttags" w:element="place">
          <w:r w:rsidRPr="00C40939">
            <w:rPr>
              <w:szCs w:val="24"/>
            </w:rPr>
            <w:t>U.S.</w:t>
          </w:r>
        </w:smartTag>
      </w:smartTag>
      <w:r w:rsidRPr="00C40939">
        <w:rPr>
          <w:szCs w:val="24"/>
        </w:rPr>
        <w:t xml:space="preserve"> mail, e-mail or by fax, and addressed as follows:</w:t>
      </w:r>
    </w:p>
    <w:p w:rsidR="00FF14C5" w:rsidRDefault="00FF14C5" w:rsidP="00C40939">
      <w:pPr>
        <w:spacing w:line="240" w:lineRule="auto"/>
        <w:ind w:left="1641" w:hanging="1641"/>
        <w:rPr>
          <w:b/>
          <w:color w:val="008000"/>
          <w:szCs w:val="24"/>
        </w:rPr>
      </w:pPr>
      <w:r w:rsidRPr="00C40939">
        <w:rPr>
          <w:szCs w:val="24"/>
        </w:rPr>
        <w:t>To City:</w:t>
      </w:r>
      <w:r w:rsidRPr="00C40939">
        <w:rPr>
          <w:szCs w:val="24"/>
        </w:rPr>
        <w:tab/>
      </w:r>
      <w:r w:rsidRPr="00C40939">
        <w:rPr>
          <w:b/>
          <w:color w:val="008000"/>
          <w:szCs w:val="24"/>
        </w:rPr>
        <w:t>[insert name or title of department contact person, name of department, mailing address, and e-mail address; fax number is optional]</w:t>
      </w:r>
    </w:p>
    <w:p w:rsidR="00F25C80" w:rsidRPr="00C40939" w:rsidRDefault="00F25C80" w:rsidP="00C40939">
      <w:pPr>
        <w:spacing w:line="240" w:lineRule="auto"/>
        <w:ind w:left="1641" w:hanging="1641"/>
        <w:rPr>
          <w:szCs w:val="24"/>
        </w:rPr>
      </w:pPr>
    </w:p>
    <w:p w:rsidR="00FF14C5" w:rsidRPr="00C40939" w:rsidRDefault="00FF14C5" w:rsidP="00C40939">
      <w:pPr>
        <w:spacing w:line="240" w:lineRule="auto"/>
        <w:ind w:left="1641" w:hanging="1641"/>
        <w:rPr>
          <w:szCs w:val="24"/>
        </w:rPr>
      </w:pPr>
      <w:r w:rsidRPr="00C40939">
        <w:rPr>
          <w:szCs w:val="24"/>
        </w:rPr>
        <w:t>To Contractor:</w:t>
      </w:r>
      <w:r w:rsidRPr="00C40939">
        <w:rPr>
          <w:szCs w:val="24"/>
        </w:rPr>
        <w:tab/>
        <w:t>[</w:t>
      </w:r>
      <w:r w:rsidRPr="00C40939">
        <w:rPr>
          <w:b/>
          <w:color w:val="008000"/>
          <w:szCs w:val="24"/>
        </w:rPr>
        <w:t>insert name of contractor, mailing address, and e-mail address; fax number is optional]</w:t>
      </w:r>
    </w:p>
    <w:p w:rsidR="00FF14C5" w:rsidRPr="00C40939" w:rsidRDefault="00FF14C5" w:rsidP="00F25C80">
      <w:pPr>
        <w:pStyle w:val="BodyText"/>
        <w:ind w:firstLine="0"/>
      </w:pPr>
      <w:r w:rsidRPr="00C40939">
        <w:t>Any notice of default must be sent by registered mail.</w:t>
      </w:r>
    </w:p>
    <w:p w:rsidR="00FF14C5" w:rsidRPr="00C40939" w:rsidRDefault="00FF14C5" w:rsidP="00C40939">
      <w:pPr>
        <w:pStyle w:val="Level3"/>
        <w:tabs>
          <w:tab w:val="left" w:pos="720"/>
        </w:tabs>
        <w:spacing w:line="240" w:lineRule="auto"/>
        <w:ind w:left="0" w:firstLine="0"/>
        <w:rPr>
          <w:szCs w:val="24"/>
        </w:rPr>
      </w:pPr>
      <w:r w:rsidRPr="00C40939">
        <w:rPr>
          <w:b/>
          <w:szCs w:val="24"/>
        </w:rPr>
        <w:t>Section Headings.</w:t>
      </w:r>
      <w:r w:rsidRPr="00C40939">
        <w:rPr>
          <w:szCs w:val="24"/>
        </w:rPr>
        <w:t xml:space="preserve">  All section headings contained herein are for convenience and reference only and are not intended to define or limit the scope of any provision of this Agreement.</w:t>
      </w:r>
    </w:p>
    <w:p w:rsidR="00FF14C5" w:rsidRPr="00C40939" w:rsidRDefault="00FF14C5" w:rsidP="00C40939">
      <w:pPr>
        <w:pStyle w:val="Level3"/>
        <w:tabs>
          <w:tab w:val="left" w:pos="720"/>
        </w:tabs>
        <w:spacing w:line="240" w:lineRule="auto"/>
        <w:ind w:left="0" w:firstLine="0"/>
        <w:rPr>
          <w:szCs w:val="24"/>
        </w:rPr>
      </w:pPr>
      <w:r w:rsidRPr="00C40939">
        <w:rPr>
          <w:b/>
          <w:szCs w:val="24"/>
        </w:rPr>
        <w:t>Waiver.</w:t>
      </w:r>
      <w:r w:rsidRPr="00C40939">
        <w:rPr>
          <w:szCs w:val="24"/>
        </w:rPr>
        <w:t xml:space="preserve">  The waiver by either party of any breach by either party of any term, covenant or conditions hereof shall not operate as a waiver of any subsequent breach of the same or any other term, covenant or condition hereof.</w:t>
      </w:r>
    </w:p>
    <w:p w:rsidR="00FF14C5" w:rsidRPr="00C40939" w:rsidRDefault="00FF14C5" w:rsidP="00C40939">
      <w:pPr>
        <w:pStyle w:val="Level3"/>
        <w:tabs>
          <w:tab w:val="left" w:pos="720"/>
        </w:tabs>
        <w:spacing w:line="240" w:lineRule="auto"/>
        <w:ind w:left="0" w:firstLine="0"/>
        <w:rPr>
          <w:szCs w:val="24"/>
        </w:rPr>
      </w:pPr>
      <w:r w:rsidRPr="00C40939">
        <w:rPr>
          <w:b/>
          <w:szCs w:val="24"/>
        </w:rPr>
        <w:t>Governing Law.</w:t>
      </w:r>
      <w:r w:rsidRPr="00C40939">
        <w:rPr>
          <w:szCs w:val="24"/>
        </w:rPr>
        <w:t xml:space="preserve">  This Agreement shall be governed exclusively by the provisions hereof and by the laws of the State of </w:t>
      </w:r>
      <w:smartTag w:uri="urn:schemas-microsoft-com:office:smarttags" w:element="State">
        <w:smartTag w:uri="urn:schemas-microsoft-com:office:smarttags" w:element="place">
          <w:r w:rsidRPr="00C40939">
            <w:rPr>
              <w:szCs w:val="24"/>
            </w:rPr>
            <w:t>California</w:t>
          </w:r>
        </w:smartTag>
      </w:smartTag>
      <w:r w:rsidRPr="00C40939">
        <w:rPr>
          <w:szCs w:val="24"/>
        </w:rPr>
        <w:t>.</w:t>
      </w:r>
    </w:p>
    <w:p w:rsidR="00FF14C5" w:rsidRPr="00476FE7" w:rsidRDefault="00FF14C5" w:rsidP="00C40939">
      <w:pPr>
        <w:pStyle w:val="Level3"/>
        <w:numPr>
          <w:ilvl w:val="2"/>
          <w:numId w:val="12"/>
        </w:numPr>
        <w:tabs>
          <w:tab w:val="left" w:pos="720"/>
        </w:tabs>
        <w:spacing w:line="240" w:lineRule="auto"/>
        <w:ind w:left="0" w:firstLine="0"/>
        <w:rPr>
          <w:szCs w:val="24"/>
        </w:rPr>
      </w:pPr>
      <w:r w:rsidRPr="00476FE7">
        <w:rPr>
          <w:b/>
          <w:szCs w:val="24"/>
        </w:rPr>
        <w:lastRenderedPageBreak/>
        <w:t>Entire Agreement; Modifications.</w:t>
      </w:r>
      <w:r w:rsidRPr="00476FE7">
        <w:rPr>
          <w:szCs w:val="24"/>
        </w:rPr>
        <w:t xml:space="preserve">  </w:t>
      </w:r>
      <w:r w:rsidRPr="00476FE7">
        <w:rPr>
          <w:szCs w:val="24"/>
        </w:rPr>
        <w:tab/>
        <w:t xml:space="preserve">This Agreement, together with the Appendices hereto, constitutes the entire Agreement between the parties and may not be modified, nor may compliance with any of its terms be waived, except by written instrument executed and approved in the same manner as this Agreement. </w:t>
      </w:r>
      <w:r w:rsidRPr="00476FE7">
        <w:rPr>
          <w:b/>
          <w:color w:val="008000"/>
          <w:szCs w:val="24"/>
        </w:rPr>
        <w:t xml:space="preserve"> </w:t>
      </w:r>
      <w:r w:rsidR="00476FE7" w:rsidRPr="00476FE7">
        <w:rPr>
          <w:b/>
          <w:color w:val="00B050"/>
          <w:szCs w:val="22"/>
        </w:rPr>
        <w:t>[If the contract amount is $50,000 or more, then add the following sentence:]</w:t>
      </w:r>
      <w:r w:rsidR="00476FE7" w:rsidRPr="00476FE7">
        <w:rPr>
          <w:szCs w:val="22"/>
        </w:rPr>
        <w:t xml:space="preserve">  Contractor shall cooperate with Department to submit to the Director of CMD any amendment, modification, supplement or change order that would result in a cumulative increase of the original amount of this Agreement by more than 20% (CMD Contract Modification Form).</w:t>
      </w:r>
      <w:r w:rsidRPr="00476FE7">
        <w:rPr>
          <w:szCs w:val="24"/>
        </w:rPr>
        <w:t>All agreements between the parties are included herein and no promises or statements have been made by either party unless endorsed hereon in writing.  No change or waiver of any provisions hereof shall be valid unless made in writing with the consent of both parties and executed in the same manner as this Agreement.  Any provision of this Agreement found to be prohibited by law shall be ineffective to the extent of such prohibition without invalidating the remainder of this Agreement.  Subject to the specific provisions of this Agreement, this Agreement shall be binding upon and inure to the benefit of the parties and their respective successors and assigns.</w:t>
      </w:r>
    </w:p>
    <w:p w:rsidR="00FF14C5" w:rsidRPr="00C40939" w:rsidRDefault="00FF14C5" w:rsidP="00C40939">
      <w:pPr>
        <w:pStyle w:val="Level3"/>
        <w:tabs>
          <w:tab w:val="left" w:pos="720"/>
        </w:tabs>
        <w:spacing w:line="240" w:lineRule="auto"/>
        <w:ind w:left="0" w:firstLine="0"/>
        <w:rPr>
          <w:b/>
          <w:szCs w:val="24"/>
        </w:rPr>
      </w:pPr>
      <w:r w:rsidRPr="00C40939">
        <w:rPr>
          <w:b/>
          <w:szCs w:val="24"/>
        </w:rPr>
        <w:t xml:space="preserve"> Local Business </w:t>
      </w:r>
      <w:smartTag w:uri="urn:schemas-microsoft-com:office:smarttags" w:element="City">
        <w:smartTag w:uri="urn:schemas-microsoft-com:office:smarttags" w:element="place">
          <w:r w:rsidRPr="00C40939">
            <w:rPr>
              <w:b/>
              <w:szCs w:val="24"/>
            </w:rPr>
            <w:t>Enterprise</w:t>
          </w:r>
        </w:smartTag>
      </w:smartTag>
      <w:r w:rsidRPr="00C40939">
        <w:rPr>
          <w:b/>
          <w:szCs w:val="24"/>
        </w:rPr>
        <w:t xml:space="preserve"> Utilization; Liquidated Damages</w:t>
      </w:r>
    </w:p>
    <w:p w:rsidR="00FF14C5" w:rsidRPr="00C40939" w:rsidRDefault="00FF14C5" w:rsidP="00C40939">
      <w:pPr>
        <w:pStyle w:val="Level4"/>
        <w:tabs>
          <w:tab w:val="clear" w:pos="2160"/>
          <w:tab w:val="clear" w:pos="3600"/>
          <w:tab w:val="left" w:pos="1440"/>
        </w:tabs>
        <w:spacing w:line="240" w:lineRule="auto"/>
        <w:ind w:left="0" w:firstLine="720"/>
        <w:rPr>
          <w:szCs w:val="24"/>
        </w:rPr>
      </w:pPr>
      <w:r w:rsidRPr="00C40939">
        <w:rPr>
          <w:b/>
          <w:szCs w:val="24"/>
        </w:rPr>
        <w:t>The LBE Ordinance.</w:t>
      </w:r>
      <w:r w:rsidRPr="00C40939">
        <w:rPr>
          <w:szCs w:val="24"/>
        </w:rPr>
        <w:t xml:space="preserve">  Contractor, shall comply with all the requirements of the Local Business Enterprise and Non-Discrimination in Contracting Ordinance set forth in Chapter 14B of the San Francisco Administrative Code as it now exists or as it may be amended in the future (collectively the “LBE Ordinance”), provided such amendments do not materially increase Contractor’s obligations or liabilities, or materially diminish Contractor’s rights, under this Agreement.  Such provisions of the LBE Ordinance are incorporated by reference and made a part of this Agreement as though fully set forth in this section.  Contractor’s willful failure to comply with any applicable provisions of the LBE Ordinance is a material breach of Contractor’s obligations under this Agreement and shall entitle City, subject to any applicable notice and cure provisions set forth in this Agreement, to exercise any of the remedies provided for under this Agreement, under the LBE Ordinance or otherwise available at law or in equity, which remedies shall be cumulative unless this Agreement expressly provides that any remedy is exclusive.  In addition, Contractor shall comply fully with all other applicable local, state and federal laws prohibiting discrimination and requiring equal opportunity in contracting, including subcontracting.</w:t>
      </w:r>
    </w:p>
    <w:p w:rsidR="00FF14C5" w:rsidRPr="00C40939" w:rsidRDefault="00FF14C5" w:rsidP="00C40939">
      <w:pPr>
        <w:pStyle w:val="Level4"/>
        <w:tabs>
          <w:tab w:val="clear" w:pos="2160"/>
          <w:tab w:val="clear" w:pos="3600"/>
          <w:tab w:val="left" w:pos="1440"/>
        </w:tabs>
        <w:spacing w:line="240" w:lineRule="auto"/>
        <w:ind w:left="0" w:firstLine="720"/>
        <w:rPr>
          <w:szCs w:val="24"/>
        </w:rPr>
      </w:pPr>
      <w:r w:rsidRPr="00C40939">
        <w:rPr>
          <w:b/>
          <w:szCs w:val="24"/>
        </w:rPr>
        <w:t xml:space="preserve">Compliance and Enforcement </w:t>
      </w:r>
    </w:p>
    <w:p w:rsidR="00FF14C5" w:rsidRPr="00C40939" w:rsidRDefault="00FF14C5" w:rsidP="00C40939">
      <w:pPr>
        <w:pStyle w:val="Level5"/>
        <w:tabs>
          <w:tab w:val="left" w:pos="2160"/>
        </w:tabs>
        <w:spacing w:line="240" w:lineRule="auto"/>
        <w:ind w:left="0" w:firstLine="1440"/>
        <w:rPr>
          <w:szCs w:val="24"/>
        </w:rPr>
      </w:pPr>
      <w:r w:rsidRPr="00C40939">
        <w:rPr>
          <w:b/>
          <w:szCs w:val="24"/>
        </w:rPr>
        <w:t>Enforcement.</w:t>
      </w:r>
      <w:r w:rsidR="00476FE7">
        <w:rPr>
          <w:szCs w:val="24"/>
        </w:rPr>
        <w:t xml:space="preserve">  </w:t>
      </w:r>
      <w:r w:rsidR="00476FE7" w:rsidRPr="00476FE7">
        <w:rPr>
          <w:szCs w:val="24"/>
        </w:rPr>
        <w:t xml:space="preserve">If Contractor willfully fails to comply with any of the provisions of the LBE Ordinance, the rules and regulations implementing the LBE Ordinance, or the provisions of this Agreement pertaining to LBE participation, Contractor shall be liable for liquidated damages in an amount equal to Contractor’s net profit on this Agreement, or 10% of the total amount of this Agreement, or $1,000, whichever is greatest.  The Director of the City’s Contracts Monitoring Division or any other public official authorized to enforce the LBE Ordinance (separately and collectively, the “Director of CMD”) may also impose other sanctions against Contractor authorized in the LBE Ordinance, including declaring the Contractor to be irresponsible and ineligible to contract with the City for a period of up to five years or revocation of the Contractor’s LBE certification.  The Director of CMD will determine the sanctions to be imposed, including the amount of liquidated damages, after investigation pursuant to Administrative Code §14B.17.  By entering into this Agreement, Contractor acknowledges and agrees that any liquidated damages assessed by the Director of the CMD shall be payable to City </w:t>
      </w:r>
      <w:r w:rsidR="00476FE7" w:rsidRPr="00476FE7">
        <w:rPr>
          <w:szCs w:val="24"/>
        </w:rPr>
        <w:lastRenderedPageBreak/>
        <w:t>upon demand.  Contractor further acknowledges and agrees that any liquidated damages assessed may be withheld from any monies due to Contractor on any contract with City.  Contractor agrees to maintain records necessary for monitoring its compliance with the LBE Ordinance for a period of three years following termination or expiration of this Agreement, and shall make such records available for audit and inspection by the Director of CMD or the Controller upon request.</w:t>
      </w:r>
    </w:p>
    <w:p w:rsidR="00FF14C5" w:rsidRPr="00C40939" w:rsidRDefault="00FF14C5" w:rsidP="00C40939">
      <w:pPr>
        <w:spacing w:line="240" w:lineRule="auto"/>
        <w:rPr>
          <w:b/>
          <w:color w:val="008000"/>
          <w:szCs w:val="24"/>
        </w:rPr>
      </w:pPr>
      <w:r w:rsidRPr="00C40939">
        <w:rPr>
          <w:b/>
          <w:color w:val="008000"/>
          <w:szCs w:val="24"/>
        </w:rPr>
        <w:sym w:font="Wingdings 3" w:char="F096"/>
      </w:r>
      <w:r w:rsidRPr="00C40939">
        <w:rPr>
          <w:b/>
          <w:color w:val="008000"/>
          <w:szCs w:val="24"/>
        </w:rPr>
        <w:t>If the contract will involve the use of subcontracts, then include subparagraphs (2), (3) and (4).  If the contract will not involve subcontracts, then omit (2), (3), and (4) and delete the subsection title above, “(1) Enforcement,” but keep the text of the subparagraph.</w:t>
      </w:r>
    </w:p>
    <w:p w:rsidR="00476FE7" w:rsidRDefault="00FF14C5" w:rsidP="00476FE7">
      <w:pPr>
        <w:pStyle w:val="Level5"/>
        <w:numPr>
          <w:ilvl w:val="4"/>
          <w:numId w:val="12"/>
        </w:numPr>
        <w:tabs>
          <w:tab w:val="clear" w:pos="720"/>
          <w:tab w:val="clear" w:pos="2880"/>
          <w:tab w:val="clear" w:pos="3600"/>
          <w:tab w:val="left" w:pos="2160"/>
        </w:tabs>
        <w:spacing w:line="240" w:lineRule="auto"/>
        <w:ind w:left="0" w:firstLine="1440"/>
        <w:rPr>
          <w:szCs w:val="22"/>
        </w:rPr>
      </w:pPr>
      <w:r w:rsidRPr="00C40939">
        <w:rPr>
          <w:b/>
          <w:szCs w:val="24"/>
        </w:rPr>
        <w:t>Subcontracting Goals.</w:t>
      </w:r>
      <w:r w:rsidRPr="00C40939">
        <w:rPr>
          <w:szCs w:val="24"/>
        </w:rPr>
        <w:t xml:space="preserve">  </w:t>
      </w:r>
      <w:r w:rsidR="00476FE7">
        <w:rPr>
          <w:szCs w:val="22"/>
        </w:rPr>
        <w:t xml:space="preserve">The LBE subcontracting participation goal for this contract is </w:t>
      </w:r>
      <w:r w:rsidR="00476FE7">
        <w:rPr>
          <w:b/>
          <w:color w:val="00B050"/>
          <w:szCs w:val="22"/>
        </w:rPr>
        <w:t>[insert number]</w:t>
      </w:r>
      <w:r w:rsidR="00476FE7">
        <w:rPr>
          <w:szCs w:val="22"/>
        </w:rPr>
        <w:t xml:space="preserve"> %.  Contractor shall fulfill the subcontracting commitment made in its bid or proposal.  Each invoice submitted to City for payment shall include the information required in the CMD Progress Payment Form and the CMD Payment Affidavit.  Failure to provide the CMD Progress Payment Form and the CMD Payment Affidavit with each invoice submitted by Contractor shall entitle City to withhold 20% of the amount of that invoice until the CMD Payment Form and the CMD Subcontractor Payment Affidavit are provided by Contractor.  Contractor shall not participate in any back contracting to the Contractor or lower-tier subcontractors, as defined in the LBE Ordinance, for any purpose inconsistent with the provisions of the LBE Ordinance, its implementing rules and regulations, or this Section.</w:t>
      </w:r>
    </w:p>
    <w:p w:rsidR="00476FE7" w:rsidRDefault="00FF14C5" w:rsidP="00476FE7">
      <w:pPr>
        <w:pStyle w:val="Level5"/>
        <w:numPr>
          <w:ilvl w:val="4"/>
          <w:numId w:val="12"/>
        </w:numPr>
        <w:tabs>
          <w:tab w:val="clear" w:pos="720"/>
          <w:tab w:val="clear" w:pos="2880"/>
          <w:tab w:val="clear" w:pos="3600"/>
          <w:tab w:val="left" w:pos="2160"/>
        </w:tabs>
        <w:spacing w:line="240" w:lineRule="auto"/>
        <w:ind w:left="0" w:firstLine="1440"/>
        <w:rPr>
          <w:szCs w:val="22"/>
        </w:rPr>
      </w:pPr>
      <w:r w:rsidRPr="00C40939">
        <w:rPr>
          <w:b/>
          <w:szCs w:val="24"/>
        </w:rPr>
        <w:t>Subcontract Language Requirements.</w:t>
      </w:r>
      <w:r w:rsidRPr="00C40939">
        <w:rPr>
          <w:szCs w:val="24"/>
        </w:rPr>
        <w:t xml:space="preserve">  </w:t>
      </w:r>
      <w:r w:rsidR="00476FE7">
        <w:rPr>
          <w:szCs w:val="22"/>
        </w:rPr>
        <w:t>Contractor shall incorporate the LBE Ordinance into each subcontract made in the fulfillment of Contractor’s obligations under this Agreement and require each subcontractor to agree and comply with provisions of the ordinance applicable to subcontractors.  Contractor shall include in all subcontracts with LBEs made in fulfillment of Contractor’s obligations under this Agreement, a provision requiring Contractor to compensate any LBE subcontractor for damages for breach of contract or liquidated damages equal to 5% of the subcontract amount, whichever is greater, if Contractor does not fulfill its commitment to use the LBE subcontractor as specified in the bid or proposal, unless Contractor received advance approval from the Director of CMD and contract awarding authority to substitute subcontractors or to otherwise modify the commitments in the bid or proposal.  Such provisions shall also state that it is enforceable in a court of competent jurisdiction.  Subcontracts shall require the subcontractor to maintain records necessary for monitoring its compliance with the LBE Ordinance for a period of three years following termination of this contract and to make such records available for audit and inspection by the Director of CMD or the Controller upon request.</w:t>
      </w:r>
    </w:p>
    <w:p w:rsidR="00FF14C5" w:rsidRPr="00C40939" w:rsidRDefault="00FF14C5" w:rsidP="00C40939">
      <w:pPr>
        <w:pStyle w:val="Level5"/>
        <w:tabs>
          <w:tab w:val="left" w:pos="2160"/>
        </w:tabs>
        <w:spacing w:line="240" w:lineRule="auto"/>
        <w:ind w:left="0" w:firstLine="1440"/>
        <w:rPr>
          <w:szCs w:val="24"/>
        </w:rPr>
      </w:pPr>
      <w:r w:rsidRPr="00C40939">
        <w:rPr>
          <w:b/>
          <w:szCs w:val="24"/>
        </w:rPr>
        <w:t>Payment of Subcontractors.</w:t>
      </w:r>
      <w:r w:rsidRPr="00C40939">
        <w:rPr>
          <w:szCs w:val="24"/>
        </w:rPr>
        <w:t xml:space="preserve">  </w:t>
      </w:r>
      <w:r w:rsidRPr="00C40939">
        <w:rPr>
          <w:szCs w:val="24"/>
        </w:rPr>
        <w:tab/>
        <w:t xml:space="preserve">Contractor shall pay its subcontractors within three working days after receiving payment from the City unless Contractor notifies the Director of </w:t>
      </w:r>
      <w:r w:rsidR="00476FE7">
        <w:rPr>
          <w:szCs w:val="24"/>
        </w:rPr>
        <w:t>CMD</w:t>
      </w:r>
      <w:r w:rsidRPr="00C40939">
        <w:rPr>
          <w:szCs w:val="24"/>
        </w:rPr>
        <w:t xml:space="preserve"> in writing within ten working days prior to receiving payment from the City that there is a bona fide dispute between Contractor and its subcontractor and the Director waives the three-day payment requirement, in which case Contractor may withhold the disputed amount but shall pay the undisputed amount.  Contractor further agrees, within ten working days following receipt of payment from the City, to file the </w:t>
      </w:r>
      <w:r w:rsidR="00476FE7">
        <w:rPr>
          <w:szCs w:val="24"/>
        </w:rPr>
        <w:t>CMD</w:t>
      </w:r>
      <w:r w:rsidRPr="00C40939">
        <w:rPr>
          <w:szCs w:val="24"/>
        </w:rPr>
        <w:t xml:space="preserve"> Payment Affidavit with the Controller, under penalty of perjury, that the Contractor has paid all subcontractors.  The affidavit shall provide the names and addresses of all subcontractors and the amount paid to each.  Failure to provide such affidavit may subject Contractor to enforcement procedure under Administrative Code §14B.17.</w:t>
      </w:r>
    </w:p>
    <w:p w:rsidR="00FF14C5" w:rsidRPr="00C40939" w:rsidRDefault="00FF14C5" w:rsidP="00C40939">
      <w:pPr>
        <w:pStyle w:val="Level3"/>
        <w:tabs>
          <w:tab w:val="left" w:pos="720"/>
        </w:tabs>
        <w:spacing w:line="240" w:lineRule="auto"/>
        <w:ind w:left="0" w:firstLine="0"/>
        <w:rPr>
          <w:b/>
          <w:szCs w:val="24"/>
        </w:rPr>
      </w:pPr>
      <w:r w:rsidRPr="00C40939">
        <w:rPr>
          <w:b/>
          <w:szCs w:val="24"/>
        </w:rPr>
        <w:lastRenderedPageBreak/>
        <w:t>Nondiscrimination; Penalties</w:t>
      </w:r>
    </w:p>
    <w:p w:rsidR="00FF14C5" w:rsidRPr="00C40939" w:rsidRDefault="00FF14C5" w:rsidP="00C40939">
      <w:pPr>
        <w:pStyle w:val="Level4"/>
        <w:tabs>
          <w:tab w:val="clear" w:pos="2160"/>
          <w:tab w:val="clear" w:pos="3600"/>
          <w:tab w:val="left" w:pos="1440"/>
        </w:tabs>
        <w:spacing w:line="240" w:lineRule="auto"/>
        <w:ind w:left="0" w:firstLine="720"/>
        <w:rPr>
          <w:szCs w:val="24"/>
        </w:rPr>
      </w:pPr>
      <w:r w:rsidRPr="00C40939">
        <w:rPr>
          <w:b/>
          <w:szCs w:val="24"/>
        </w:rPr>
        <w:t>Contractor Shall Not Discriminate.</w:t>
      </w:r>
      <w:r w:rsidRPr="00C40939">
        <w:rPr>
          <w:szCs w:val="24"/>
        </w:rPr>
        <w:t xml:space="preserve">   In the performance of this Agreement, Contractor agrees not to discriminate against any employee, City and County employee working with such contractor or subcontractor, applicant for employment with such contractor or subcontractor, or against any person seeking accommodations, advantages, facilities, privileges, services, or membership in all business, social, or other establishments or organizations, on the basis of the fact or perception of a person’s race, color, creed, religion, national origin, ancestry, age, height, weight, sex, sexual orientation, gender identity, domestic partner status, marital status, disability or Acquired Immune Deficiency Syndrome or HIV status (AIDS/HIV status), or association with members of such protected classes, or in retaliation for opposition to discrimination against such classes.</w:t>
      </w:r>
    </w:p>
    <w:p w:rsidR="00FF14C5" w:rsidRPr="00C40939" w:rsidRDefault="00FF14C5" w:rsidP="00C40939">
      <w:pPr>
        <w:pStyle w:val="Level4"/>
        <w:tabs>
          <w:tab w:val="clear" w:pos="2160"/>
          <w:tab w:val="clear" w:pos="3600"/>
          <w:tab w:val="left" w:pos="1440"/>
        </w:tabs>
        <w:spacing w:line="240" w:lineRule="auto"/>
        <w:ind w:left="0" w:firstLine="720"/>
        <w:rPr>
          <w:szCs w:val="24"/>
        </w:rPr>
      </w:pPr>
      <w:r w:rsidRPr="00C40939">
        <w:rPr>
          <w:b/>
          <w:szCs w:val="24"/>
        </w:rPr>
        <w:t>Subcontracts.</w:t>
      </w:r>
      <w:r w:rsidRPr="00C40939">
        <w:rPr>
          <w:szCs w:val="24"/>
        </w:rPr>
        <w:t xml:space="preserve">  Contractor shall incorporate by reference in all subcontracts the provisions of Sections 12B.2(a), 12B.2(c)-(k), and 12C.3 of the San Francisco Administrative Code (copies of which are available from Purchasing) and shall require all subcontractors to comply with such provisions.  Contractor’s failure to comply with the obligations in this subsection shall constitute a material breach of this Agreement.</w:t>
      </w:r>
    </w:p>
    <w:p w:rsidR="00FF14C5" w:rsidRPr="00C40939" w:rsidRDefault="00FF14C5" w:rsidP="00C40939">
      <w:pPr>
        <w:pStyle w:val="Level4"/>
        <w:tabs>
          <w:tab w:val="clear" w:pos="2160"/>
          <w:tab w:val="clear" w:pos="3600"/>
          <w:tab w:val="left" w:pos="1440"/>
        </w:tabs>
        <w:spacing w:line="240" w:lineRule="auto"/>
        <w:ind w:left="0" w:firstLine="720"/>
        <w:rPr>
          <w:szCs w:val="24"/>
        </w:rPr>
      </w:pPr>
      <w:r w:rsidRPr="00C40939">
        <w:rPr>
          <w:b/>
          <w:szCs w:val="24"/>
        </w:rPr>
        <w:t>Nondiscrimination in Benefits.</w:t>
      </w:r>
      <w:r w:rsidRPr="00C40939">
        <w:rPr>
          <w:szCs w:val="24"/>
        </w:rPr>
        <w:t xml:space="preserve">  Contractor does not as of the date of this Agreement and will not during the term of this Agreement, in any of its operations in San Francisco, or where work is being performed for the City elsewhere in the United States, discriminate in the provision of bereavement leave, family medical leave, health benefits, membership or membership discounts, moving expenses, pension and retirement benefits or travel benefits, as well as any benefits other than the benefits specified above, between employees with domestic partners and employees with spouses, and/or between the domestic partners and spouses of such employees, where the domestic partnership has been registered with a governmental entity pursuant to state or local law authorizing such registration, subject to the conditions set forth in Section 12B.2(b) of the San Francisco Administrative Code.</w:t>
      </w:r>
    </w:p>
    <w:p w:rsidR="00FF14C5" w:rsidRPr="00C40939" w:rsidRDefault="00FF14C5" w:rsidP="00C40939">
      <w:pPr>
        <w:pStyle w:val="Level4"/>
        <w:tabs>
          <w:tab w:val="clear" w:pos="2160"/>
          <w:tab w:val="clear" w:pos="3600"/>
          <w:tab w:val="left" w:pos="1440"/>
        </w:tabs>
        <w:spacing w:line="240" w:lineRule="auto"/>
        <w:ind w:left="0" w:firstLine="720"/>
        <w:rPr>
          <w:szCs w:val="24"/>
        </w:rPr>
      </w:pPr>
      <w:r w:rsidRPr="00C40939">
        <w:rPr>
          <w:b/>
          <w:szCs w:val="24"/>
        </w:rPr>
        <w:t>Condition to Contract.</w:t>
      </w:r>
      <w:r w:rsidRPr="00C40939">
        <w:rPr>
          <w:szCs w:val="24"/>
        </w:rPr>
        <w:t xml:space="preserve"> As a condition to this Agreement, Contractor shall execute the “Chapter 12B Declaration: Nondiscrimination in Contracts and Benefits” form (</w:t>
      </w:r>
      <w:r w:rsidR="00476FE7">
        <w:rPr>
          <w:szCs w:val="24"/>
        </w:rPr>
        <w:t>F</w:t>
      </w:r>
      <w:r w:rsidRPr="00C40939">
        <w:rPr>
          <w:szCs w:val="24"/>
        </w:rPr>
        <w:t xml:space="preserve">orm </w:t>
      </w:r>
      <w:r w:rsidR="00476FE7">
        <w:rPr>
          <w:szCs w:val="24"/>
        </w:rPr>
        <w:t>CMD</w:t>
      </w:r>
      <w:r w:rsidRPr="00C40939">
        <w:rPr>
          <w:szCs w:val="24"/>
        </w:rPr>
        <w:t>-12B-101) with supporting documentation and secure the approval of the form by the San Francisco Human Rights Commission.</w:t>
      </w:r>
    </w:p>
    <w:p w:rsidR="00FF14C5" w:rsidRDefault="00FF14C5" w:rsidP="00C40939">
      <w:pPr>
        <w:pStyle w:val="Level4"/>
        <w:tabs>
          <w:tab w:val="clear" w:pos="2160"/>
          <w:tab w:val="clear" w:pos="3600"/>
          <w:tab w:val="left" w:pos="1440"/>
        </w:tabs>
        <w:spacing w:line="240" w:lineRule="auto"/>
        <w:ind w:left="0" w:firstLine="720"/>
        <w:rPr>
          <w:szCs w:val="24"/>
        </w:rPr>
      </w:pPr>
      <w:r w:rsidRPr="00C40939">
        <w:rPr>
          <w:b/>
          <w:szCs w:val="24"/>
        </w:rPr>
        <w:t>Incorporation of Administrative Code Provisions by Reference.</w:t>
      </w:r>
      <w:r w:rsidRPr="00C40939">
        <w:rPr>
          <w:szCs w:val="24"/>
        </w:rPr>
        <w:t xml:space="preserve">  The provisions of Chapters 12B and 12C of the San Francisco Administrative Code are incorporated in this Section by reference and made a part of this Agreement as though fully set forth herein.  Contractor shall comply fully with and be bound by all of the provisions that apply to this Agreement under such Chapters of the Administrative Code, including but not limited to the remedies provided in such Chapters.  Without limiting the foregoing, Contractor understands that pursuant to §§12B.2(h) and 12C.3(g) of the San Francisco Administrative Code, a penalty of $50 for each person for each calendar day during which such person was discriminated against in violation of the provisions of this Agreement may be assessed against Contractor and/or deducted from any payments due Contractor.</w:t>
      </w:r>
    </w:p>
    <w:p w:rsidR="007B52E3" w:rsidRDefault="007B52E3" w:rsidP="007B52E3">
      <w:pPr>
        <w:pStyle w:val="Level3"/>
        <w:numPr>
          <w:ilvl w:val="0"/>
          <w:numId w:val="0"/>
        </w:numPr>
        <w:tabs>
          <w:tab w:val="left" w:pos="720"/>
        </w:tabs>
        <w:spacing w:line="240" w:lineRule="auto"/>
        <w:rPr>
          <w:b/>
          <w:color w:val="00B050"/>
          <w:szCs w:val="22"/>
        </w:rPr>
      </w:pPr>
      <w:r>
        <w:rPr>
          <w:b/>
          <w:color w:val="00B050"/>
          <w:szCs w:val="22"/>
        </w:rPr>
        <w:sym w:font="Wingdings 3" w:char="F096"/>
      </w:r>
      <w:r>
        <w:rPr>
          <w:b/>
          <w:color w:val="00B050"/>
          <w:szCs w:val="22"/>
        </w:rPr>
        <w:t>The</w:t>
      </w:r>
      <w:r w:rsidRPr="005130FD">
        <w:rPr>
          <w:b/>
          <w:color w:val="00B050"/>
          <w:szCs w:val="22"/>
        </w:rPr>
        <w:t xml:space="preserve"> contract language, below, implements Chapter 12T of the Administrative Code, “City Contractor/Subcontractor Consideration of Criminal History in Hiring and Employment Decisions.”  Chapter 12T applies to certain contracts/agreements executed or amended in any manner on or after August 13, 2014.  To facilitate compliance with Section </w:t>
      </w:r>
      <w:r w:rsidRPr="005130FD">
        <w:rPr>
          <w:b/>
          <w:color w:val="00B050"/>
          <w:szCs w:val="22"/>
        </w:rPr>
        <w:lastRenderedPageBreak/>
        <w:t>12T.3 and provide sufficient notice to prospective contractors, the Office of Labor Standards Enforcement (“OLSE”) encourages City contracting agencies to include the new contract language in all applicable contracts/agreements either currently advertised for bids/proposals or that will be advertised for bids/proposals prior to the August 13 operative date.  If you have questions regarding the applicability or implementation of Chapter 12T, please contact Donna Mandel of OLSE at 554-4791.</w:t>
      </w:r>
    </w:p>
    <w:p w:rsidR="007B52E3" w:rsidRPr="007B52E3" w:rsidRDefault="007B52E3" w:rsidP="007B52E3">
      <w:pPr>
        <w:pStyle w:val="Level3"/>
        <w:numPr>
          <w:ilvl w:val="2"/>
          <w:numId w:val="12"/>
        </w:numPr>
        <w:tabs>
          <w:tab w:val="left" w:pos="720"/>
        </w:tabs>
        <w:spacing w:line="240" w:lineRule="auto"/>
        <w:ind w:left="0" w:firstLine="0"/>
        <w:rPr>
          <w:color w:val="00B050"/>
          <w:szCs w:val="22"/>
        </w:rPr>
      </w:pPr>
      <w:r w:rsidRPr="002B6263">
        <w:rPr>
          <w:b/>
          <w:szCs w:val="22"/>
        </w:rPr>
        <w:t xml:space="preserve">Consideration of </w:t>
      </w:r>
      <w:r w:rsidR="00476FE7">
        <w:rPr>
          <w:b/>
          <w:szCs w:val="22"/>
        </w:rPr>
        <w:t>Criminal H</w:t>
      </w:r>
      <w:r w:rsidRPr="002B6263">
        <w:rPr>
          <w:b/>
          <w:szCs w:val="22"/>
        </w:rPr>
        <w:t xml:space="preserve">istory in </w:t>
      </w:r>
      <w:r w:rsidR="00476FE7">
        <w:rPr>
          <w:b/>
          <w:szCs w:val="22"/>
        </w:rPr>
        <w:t>Hiring and Employment D</w:t>
      </w:r>
      <w:r w:rsidRPr="002B6263">
        <w:rPr>
          <w:b/>
          <w:szCs w:val="22"/>
        </w:rPr>
        <w:t>ecisions.</w:t>
      </w:r>
      <w:r w:rsidRPr="002B6263">
        <w:rPr>
          <w:szCs w:val="22"/>
        </w:rPr>
        <w:t xml:space="preserve"> </w:t>
      </w:r>
      <w:r w:rsidRPr="007B52E3">
        <w:rPr>
          <w:color w:val="00B050"/>
          <w:szCs w:val="22"/>
        </w:rPr>
        <w:t>[Applies to contracts/agreements executed or amended in any manner on or after August 13, 2014.]</w:t>
      </w:r>
    </w:p>
    <w:p w:rsidR="007B52E3" w:rsidRPr="002B6263" w:rsidRDefault="007B52E3" w:rsidP="007B52E3">
      <w:pPr>
        <w:pStyle w:val="Level3"/>
        <w:numPr>
          <w:ilvl w:val="0"/>
          <w:numId w:val="0"/>
        </w:numPr>
        <w:tabs>
          <w:tab w:val="left" w:pos="720"/>
        </w:tabs>
        <w:spacing w:line="240" w:lineRule="auto"/>
        <w:rPr>
          <w:szCs w:val="22"/>
        </w:rPr>
      </w:pPr>
      <w:r w:rsidRPr="002B6263">
        <w:rPr>
          <w:szCs w:val="22"/>
        </w:rPr>
        <w:t>a.</w:t>
      </w:r>
      <w:r w:rsidRPr="002B6263">
        <w:rPr>
          <w:szCs w:val="22"/>
        </w:rPr>
        <w:tab/>
        <w:t xml:space="preserve">Contractor agrees to comply fully with and be bound by all of the provisions of Chapter 12T “City Contractor/Subcontractor Consideration of Criminal History in Hiring and Employment Decisions,” of the San Francisco Administrative Code (Chapter 12T), including the remedies provided, and implementing regulations, as may be amended from time to time. The provisions of Chapter 12T are incorporated by reference and made a part of this Agreement as though fully set forth herein.  The text of the Chapter 12T is available on the web at </w:t>
      </w:r>
      <w:hyperlink r:id="rId8" w:history="1">
        <w:r w:rsidRPr="002B6263">
          <w:rPr>
            <w:rStyle w:val="Hyperlink"/>
            <w:szCs w:val="22"/>
          </w:rPr>
          <w:t>www.sfgov.org/olse/fco</w:t>
        </w:r>
      </w:hyperlink>
      <w:r w:rsidRPr="002B6263">
        <w:rPr>
          <w:szCs w:val="22"/>
        </w:rPr>
        <w:t>.  A partial listing of some of Contractor’s obligations under Chapter 12T is set forth in this Section.  Contractor is required to comply with all of the applicable provisions of 12T, irrespective of the listing of obligations in this Section.  Capitalized terms used in this Section and not defined in this Agreement shall have the meanings assigned to such terms in Chapter 12T.</w:t>
      </w:r>
    </w:p>
    <w:p w:rsidR="007B52E3" w:rsidRPr="002B6263" w:rsidRDefault="007B52E3" w:rsidP="007B52E3">
      <w:pPr>
        <w:pStyle w:val="Level3"/>
        <w:numPr>
          <w:ilvl w:val="0"/>
          <w:numId w:val="0"/>
        </w:numPr>
        <w:tabs>
          <w:tab w:val="left" w:pos="720"/>
        </w:tabs>
        <w:spacing w:line="240" w:lineRule="auto"/>
        <w:rPr>
          <w:szCs w:val="22"/>
        </w:rPr>
      </w:pPr>
      <w:r w:rsidRPr="002B6263">
        <w:rPr>
          <w:szCs w:val="22"/>
        </w:rPr>
        <w:t>b.</w:t>
      </w:r>
      <w:r w:rsidRPr="002B6263">
        <w:rPr>
          <w:szCs w:val="22"/>
        </w:rPr>
        <w:tab/>
      </w:r>
      <w:r w:rsidRPr="00BC04DC">
        <w:rPr>
          <w:szCs w:val="22"/>
        </w:rPr>
        <w:t>The requirements of Chapter 12T shall only apply to a Contractor’s or Subcontractor’s operations to the extent those operations are in furtherance of the performance of this Agreement, shall apply only to applicants and employees who would be or are performing work in furtherance of this Agreement, shall apply only when the physical location of the employment or prospective employment of an individual is wholly or substantially within the City of San Francisco,</w:t>
      </w:r>
      <w:r w:rsidRPr="00BC04DC">
        <w:rPr>
          <w:b/>
          <w:bCs/>
          <w:szCs w:val="22"/>
        </w:rPr>
        <w:t xml:space="preserve"> </w:t>
      </w:r>
      <w:r w:rsidRPr="005130FD">
        <w:rPr>
          <w:bCs/>
          <w:szCs w:val="22"/>
        </w:rPr>
        <w:t>and shall not apply when the application in a particular context would conflict with federal or state law or with a requirement of a government agency implementing federal or state law.</w:t>
      </w:r>
      <w:r w:rsidRPr="002B6263">
        <w:rPr>
          <w:szCs w:val="22"/>
        </w:rPr>
        <w:t xml:space="preserve"> </w:t>
      </w:r>
    </w:p>
    <w:p w:rsidR="007B52E3" w:rsidRPr="002B6263" w:rsidRDefault="007B52E3" w:rsidP="007B52E3">
      <w:pPr>
        <w:pStyle w:val="Level3"/>
        <w:numPr>
          <w:ilvl w:val="0"/>
          <w:numId w:val="0"/>
        </w:numPr>
        <w:tabs>
          <w:tab w:val="left" w:pos="720"/>
        </w:tabs>
        <w:spacing w:line="240" w:lineRule="auto"/>
        <w:rPr>
          <w:szCs w:val="22"/>
        </w:rPr>
      </w:pPr>
      <w:r w:rsidRPr="002B6263">
        <w:rPr>
          <w:szCs w:val="22"/>
        </w:rPr>
        <w:t>c.</w:t>
      </w:r>
      <w:r w:rsidRPr="002B6263">
        <w:rPr>
          <w:szCs w:val="22"/>
        </w:rPr>
        <w:tab/>
        <w:t>Contractor shall incorporate by reference in all subcontracts the provisions of Chapter 12T, and shall require all subcontractors to comply with such provisions.  Contractor’s failure to comply with the obligations in this subsection shall constitute a material breach of this Agreement.</w:t>
      </w:r>
    </w:p>
    <w:p w:rsidR="007B52E3" w:rsidRPr="002B6263" w:rsidRDefault="007B52E3" w:rsidP="007B52E3">
      <w:pPr>
        <w:pStyle w:val="Level3"/>
        <w:numPr>
          <w:ilvl w:val="0"/>
          <w:numId w:val="0"/>
        </w:numPr>
        <w:tabs>
          <w:tab w:val="left" w:pos="720"/>
        </w:tabs>
        <w:spacing w:line="240" w:lineRule="auto"/>
        <w:rPr>
          <w:szCs w:val="22"/>
        </w:rPr>
      </w:pPr>
      <w:r w:rsidRPr="002B6263">
        <w:rPr>
          <w:szCs w:val="22"/>
        </w:rPr>
        <w:t>d.</w:t>
      </w:r>
      <w:r w:rsidRPr="002B6263">
        <w:rPr>
          <w:szCs w:val="22"/>
        </w:rPr>
        <w:tab/>
        <w:t>Contractor or Subcontractor shall not inquire about, require disclosure of, or if such information is received base an Adverse Action on an applicant’s or potential applicant for employment, or employee’s: (1) Arrest not leading to a Conviction, unless the Arrest is undergoing an active pending criminal investigation or trial that has not yet been resolved; (2) participation in or completion of a diversion or a deferral of judgment program; (3) a Conviction that has been judicially dismissed, expunged, voided, invalidated, or otherwise rendered inoperative; (4) a Conviction or any other adjudication in the juvenile justice system; (5) a Conviction that is more than seven years old, from the date of sentencing; or (6) information pertaining to an offense other than a felony or misdemeanor, such as an infraction.</w:t>
      </w:r>
    </w:p>
    <w:p w:rsidR="007B52E3" w:rsidRPr="002B6263" w:rsidRDefault="007B52E3" w:rsidP="007B52E3">
      <w:pPr>
        <w:pStyle w:val="Level3"/>
        <w:numPr>
          <w:ilvl w:val="0"/>
          <w:numId w:val="0"/>
        </w:numPr>
        <w:tabs>
          <w:tab w:val="left" w:pos="720"/>
        </w:tabs>
        <w:spacing w:line="240" w:lineRule="auto"/>
        <w:rPr>
          <w:szCs w:val="22"/>
        </w:rPr>
      </w:pPr>
      <w:r w:rsidRPr="002B6263">
        <w:rPr>
          <w:szCs w:val="22"/>
        </w:rPr>
        <w:t>e.</w:t>
      </w:r>
      <w:r w:rsidRPr="002B6263">
        <w:rPr>
          <w:szCs w:val="22"/>
        </w:rPr>
        <w:tab/>
        <w:t xml:space="preserve">Contractor or Subcontractor shall not inquire about or require applicants, potential applicants for employment, or employees to disclose on any employment application the facts or details of any conviction history, unresolved arrest, or any matter identified in subsection </w:t>
      </w:r>
      <w:r>
        <w:rPr>
          <w:szCs w:val="22"/>
        </w:rPr>
        <w:t>26</w:t>
      </w:r>
      <w:r w:rsidRPr="002B6263">
        <w:rPr>
          <w:szCs w:val="22"/>
        </w:rPr>
        <w:t xml:space="preserve">(d), </w:t>
      </w:r>
      <w:r w:rsidRPr="002B6263">
        <w:rPr>
          <w:szCs w:val="22"/>
        </w:rPr>
        <w:lastRenderedPageBreak/>
        <w:t xml:space="preserve">above.  Contractor or Subcontractor shall not require such disclosure or make such inquiry until either after the first live interview with the person, or after a conditional offer of employment. </w:t>
      </w:r>
    </w:p>
    <w:p w:rsidR="007B52E3" w:rsidRPr="002B6263" w:rsidRDefault="007B52E3" w:rsidP="007B52E3">
      <w:pPr>
        <w:pStyle w:val="Level3"/>
        <w:numPr>
          <w:ilvl w:val="0"/>
          <w:numId w:val="0"/>
        </w:numPr>
        <w:tabs>
          <w:tab w:val="left" w:pos="720"/>
        </w:tabs>
        <w:spacing w:line="240" w:lineRule="auto"/>
        <w:rPr>
          <w:szCs w:val="22"/>
        </w:rPr>
      </w:pPr>
      <w:r w:rsidRPr="002B6263">
        <w:rPr>
          <w:szCs w:val="22"/>
        </w:rPr>
        <w:t>f.</w:t>
      </w:r>
      <w:r w:rsidRPr="002B6263">
        <w:rPr>
          <w:szCs w:val="22"/>
        </w:rPr>
        <w:tab/>
        <w:t>Contractor or Subcontractor shall state in all solicitations or advertisements for employees that are reasonably likely to reach persons who are reasonably likely to seek employment to be performed under this Agreement, that the Contractor or Subcontractor will consider for employment qualified applicants with criminal histories in a manner consistent with the requirements of Chapter 12T.</w:t>
      </w:r>
    </w:p>
    <w:p w:rsidR="007B52E3" w:rsidRPr="002B6263" w:rsidRDefault="007B52E3" w:rsidP="007B52E3">
      <w:pPr>
        <w:pStyle w:val="Level3"/>
        <w:numPr>
          <w:ilvl w:val="0"/>
          <w:numId w:val="0"/>
        </w:numPr>
        <w:tabs>
          <w:tab w:val="left" w:pos="720"/>
        </w:tabs>
        <w:spacing w:line="240" w:lineRule="auto"/>
        <w:rPr>
          <w:szCs w:val="22"/>
        </w:rPr>
      </w:pPr>
      <w:r w:rsidRPr="002B6263">
        <w:rPr>
          <w:szCs w:val="22"/>
        </w:rPr>
        <w:t>g.</w:t>
      </w:r>
      <w:r w:rsidRPr="002B6263">
        <w:rPr>
          <w:szCs w:val="22"/>
        </w:rPr>
        <w:tab/>
        <w:t>Contractor and Subcontractors shall post the notice prepared by the Office of Labor Standards Enforcement (OLSE), available on OLSE’s website, in a conspicuous place at every workplace, job site, or other location under the Contractor or Subcontractor’s control at which work is being done or will be done in furtherance of the performance of this Agreement.  The notice shall be posted in English, Spanish, Chinese, and any language spoken by at least 5% of the employees at the workplace, job site, or other location at which it is posted.</w:t>
      </w:r>
    </w:p>
    <w:p w:rsidR="007B52E3" w:rsidRPr="00C40939" w:rsidRDefault="007B52E3" w:rsidP="007B52E3">
      <w:pPr>
        <w:pStyle w:val="Level4"/>
        <w:numPr>
          <w:ilvl w:val="0"/>
          <w:numId w:val="0"/>
        </w:numPr>
        <w:tabs>
          <w:tab w:val="clear" w:pos="2160"/>
          <w:tab w:val="clear" w:pos="3600"/>
          <w:tab w:val="left" w:pos="720"/>
        </w:tabs>
        <w:spacing w:line="240" w:lineRule="auto"/>
        <w:rPr>
          <w:szCs w:val="24"/>
        </w:rPr>
      </w:pPr>
      <w:r w:rsidRPr="002B6263">
        <w:rPr>
          <w:szCs w:val="22"/>
        </w:rPr>
        <w:t>h.</w:t>
      </w:r>
      <w:r w:rsidRPr="002B6263">
        <w:rPr>
          <w:szCs w:val="22"/>
        </w:rPr>
        <w:tab/>
        <w:t>Contractor understands and agrees that if it fails to comply with the requirements of Chapter 12T, the City shall have the right to pursue any rights or remedies available under Chapter 12T, including but not limited to, a penalty of $50 for a second violation and $100 for a subsequent violation for each employee, applicant or other person as to whom a violation occurred or continued, termination or suspension in whole or in part of this Agreement.</w:t>
      </w:r>
    </w:p>
    <w:p w:rsidR="00FF14C5" w:rsidRPr="00C40939" w:rsidRDefault="00FF14C5" w:rsidP="00C40939">
      <w:pPr>
        <w:pStyle w:val="Level3"/>
        <w:tabs>
          <w:tab w:val="left" w:pos="720"/>
        </w:tabs>
        <w:spacing w:line="240" w:lineRule="auto"/>
        <w:ind w:left="0" w:firstLine="0"/>
        <w:rPr>
          <w:b/>
          <w:szCs w:val="24"/>
        </w:rPr>
      </w:pPr>
      <w:r w:rsidRPr="00C40939">
        <w:rPr>
          <w:b/>
          <w:szCs w:val="24"/>
        </w:rPr>
        <w:t>Requiring Minimum Compensation for Covered Employees</w:t>
      </w:r>
    </w:p>
    <w:p w:rsidR="001D2019" w:rsidRDefault="001D2019" w:rsidP="001D2019">
      <w:pPr>
        <w:pStyle w:val="Level4"/>
        <w:numPr>
          <w:ilvl w:val="3"/>
          <w:numId w:val="12"/>
        </w:numPr>
        <w:tabs>
          <w:tab w:val="clear" w:pos="720"/>
          <w:tab w:val="clear" w:pos="2160"/>
          <w:tab w:val="left" w:pos="1440"/>
        </w:tabs>
        <w:spacing w:line="240" w:lineRule="auto"/>
        <w:ind w:left="0" w:firstLine="720"/>
        <w:rPr>
          <w:szCs w:val="22"/>
        </w:rPr>
      </w:pPr>
      <w:r>
        <w:rPr>
          <w:szCs w:val="22"/>
        </w:rPr>
        <w:t>Contractor agrees to comply fully with and be bound by all of the provisions of the Minimum Compensation Ordinance (MCO), as set forth in San Francisco Administrative Code Chapter 12P (Chapter 12P), including the remedies provided, and implementing guidelines and rules.  The provisions of Sections 12P.5 and 12P.5.1 of Chapter 12P are incorporated herein by reference and made a part of this Agreement as though fully set forth.  The text of the MCO is available on the web at www.sfgov.org/olse/mco.  A partial listing of some of Contractor's obligations under the MCO is set forth in this Section.  Contractor is required to comply with all the provisions of the MCO, irrespective of the listing of obligations in this Section.</w:t>
      </w:r>
    </w:p>
    <w:p w:rsidR="001D2019" w:rsidRDefault="001D2019" w:rsidP="001D2019">
      <w:pPr>
        <w:pStyle w:val="Level4"/>
        <w:numPr>
          <w:ilvl w:val="3"/>
          <w:numId w:val="12"/>
        </w:numPr>
        <w:tabs>
          <w:tab w:val="clear" w:pos="720"/>
          <w:tab w:val="clear" w:pos="2160"/>
          <w:tab w:val="left" w:pos="1440"/>
        </w:tabs>
        <w:spacing w:line="240" w:lineRule="auto"/>
        <w:ind w:left="0" w:firstLine="720"/>
        <w:rPr>
          <w:szCs w:val="22"/>
        </w:rPr>
      </w:pPr>
      <w:r>
        <w:rPr>
          <w:szCs w:val="22"/>
        </w:rPr>
        <w:t>The MCO requires Contractor to pay Contractor's employees a minimum hourly gross compensation wage rate and to provide minimum compensated and uncompensated time off.  The minimum wage rate may change from year to year and Contractor is obligated to keep informed of the then-current requirements.  Any subcontract entered into by Contractor shall require the subcontractor to comply with the requirements of the MCO and shall contain contractual obligations substantially the same as those set forth in this Section.  It is Contractor’s obligation to ensure that any subcontractors of any tier under this Agreement comply with the requirements of the MCO.  If any subcontractor under this Agreement fails to comply, City may pursue any of the remedies set forth in this Section against Contractor.</w:t>
      </w:r>
    </w:p>
    <w:p w:rsidR="001D2019" w:rsidRDefault="001D2019" w:rsidP="001D2019">
      <w:pPr>
        <w:pStyle w:val="Level4"/>
        <w:numPr>
          <w:ilvl w:val="3"/>
          <w:numId w:val="12"/>
        </w:numPr>
        <w:tabs>
          <w:tab w:val="clear" w:pos="720"/>
          <w:tab w:val="clear" w:pos="2160"/>
          <w:tab w:val="left" w:pos="1440"/>
        </w:tabs>
        <w:spacing w:line="240" w:lineRule="auto"/>
        <w:ind w:left="0" w:firstLine="720"/>
        <w:rPr>
          <w:szCs w:val="22"/>
        </w:rPr>
      </w:pPr>
      <w:r>
        <w:rPr>
          <w:szCs w:val="22"/>
        </w:rPr>
        <w:t>Contractor shall not take adverse action or otherwise discriminate against an employee or other person for the exercise or attempted exercise of rights under the MCO.  Such actions, if taken within 90 days of the exercise or attempted exercise of such rights, will be rebuttably presumed to be retaliation prohibited by the MCO.</w:t>
      </w:r>
    </w:p>
    <w:p w:rsidR="001D2019" w:rsidRDefault="001D2019" w:rsidP="001D2019">
      <w:pPr>
        <w:pStyle w:val="Level4"/>
        <w:numPr>
          <w:ilvl w:val="3"/>
          <w:numId w:val="12"/>
        </w:numPr>
        <w:tabs>
          <w:tab w:val="clear" w:pos="720"/>
          <w:tab w:val="clear" w:pos="2160"/>
          <w:tab w:val="left" w:pos="1440"/>
        </w:tabs>
        <w:spacing w:line="240" w:lineRule="auto"/>
        <w:ind w:left="0" w:firstLine="720"/>
        <w:rPr>
          <w:szCs w:val="22"/>
        </w:rPr>
      </w:pPr>
      <w:r>
        <w:rPr>
          <w:szCs w:val="22"/>
        </w:rPr>
        <w:t>Contractor shall maintain employee and payroll records as required by the MCO.  If  Contractor fails to do so, it shall be presumed that the Contractor paid no more than the minimum wage required under State law.</w:t>
      </w:r>
    </w:p>
    <w:p w:rsidR="001D2019" w:rsidRDefault="001D2019" w:rsidP="001D2019">
      <w:pPr>
        <w:pStyle w:val="Level4"/>
        <w:numPr>
          <w:ilvl w:val="3"/>
          <w:numId w:val="12"/>
        </w:numPr>
        <w:tabs>
          <w:tab w:val="clear" w:pos="720"/>
          <w:tab w:val="clear" w:pos="2160"/>
          <w:tab w:val="left" w:pos="1440"/>
        </w:tabs>
        <w:spacing w:line="240" w:lineRule="auto"/>
        <w:ind w:left="0" w:firstLine="720"/>
        <w:rPr>
          <w:szCs w:val="22"/>
        </w:rPr>
      </w:pPr>
      <w:r>
        <w:rPr>
          <w:szCs w:val="22"/>
        </w:rPr>
        <w:lastRenderedPageBreak/>
        <w:t>The City is authorized to inspect Contractor’s job sites and conduct interviews with employees and conduct audits of Contractor</w:t>
      </w:r>
    </w:p>
    <w:p w:rsidR="001D2019" w:rsidRDefault="001D2019" w:rsidP="001D2019">
      <w:pPr>
        <w:pStyle w:val="Level4"/>
        <w:numPr>
          <w:ilvl w:val="3"/>
          <w:numId w:val="12"/>
        </w:numPr>
        <w:tabs>
          <w:tab w:val="clear" w:pos="720"/>
          <w:tab w:val="clear" w:pos="2160"/>
          <w:tab w:val="left" w:pos="1440"/>
        </w:tabs>
        <w:spacing w:line="240" w:lineRule="auto"/>
        <w:ind w:left="0" w:firstLine="720"/>
        <w:rPr>
          <w:szCs w:val="22"/>
        </w:rPr>
      </w:pPr>
      <w:r>
        <w:rPr>
          <w:szCs w:val="22"/>
        </w:rPr>
        <w:t>Contractor's commitment to provide the Minimum Compensation is a material element of the City's consideration for this Agreement.  The City in its sole discretion shall determine whether such a breach has occurred.  The City and the public will suffer actual damage that will be impractical or extremely difficult to determine if the Contractor fails to comply with these requirements.  Contractor agrees that the sums set forth in Section 12P.6.1 of the MCO as liquidated damages are not a penalty, but are reasonable estimates of the loss that the City and the public will incur for Contractor's noncompliance.  The procedures governing the assessment of liquidated damages shall be those set forth in Section 12P.6.2 of Chapter 12P.</w:t>
      </w:r>
    </w:p>
    <w:p w:rsidR="001D2019" w:rsidRDefault="001D2019" w:rsidP="001D2019">
      <w:pPr>
        <w:pStyle w:val="Level4"/>
        <w:numPr>
          <w:ilvl w:val="3"/>
          <w:numId w:val="12"/>
        </w:numPr>
        <w:tabs>
          <w:tab w:val="clear" w:pos="720"/>
          <w:tab w:val="clear" w:pos="2160"/>
          <w:tab w:val="left" w:pos="1440"/>
        </w:tabs>
        <w:spacing w:line="240" w:lineRule="auto"/>
        <w:ind w:left="0" w:firstLine="720"/>
        <w:rPr>
          <w:szCs w:val="22"/>
        </w:rPr>
      </w:pPr>
      <w:r>
        <w:rPr>
          <w:szCs w:val="22"/>
        </w:rPr>
        <w:t>Contractor understands and agrees that if it fails to comply with the requirements of the MCO, the City shall have the right to pursue any rights or remedies available under Chapter 12P (including liquidated damages), under the terms of the contract, and under applicable law.  If, within 30 days after receiving written notice of a breach of this Agreement for violating the MCO, Contractor fails to cure such breach or, if such breach cannot reasonably be cured within such period of 30 days, Contractor fails to commence efforts to cure within such period, or thereafter fails diligently to pursue such cure to completion, the City shall have the right to pursue any rights or remedies available under applicable law, including those set forth in Section 12P.6(c) of Chapter 12P.  Each of these remedies shall be exercisable individually or in combination with any other rights or remedies available to the City.</w:t>
      </w:r>
    </w:p>
    <w:p w:rsidR="001D2019" w:rsidRDefault="001D2019" w:rsidP="001D2019">
      <w:pPr>
        <w:pStyle w:val="Level4"/>
        <w:numPr>
          <w:ilvl w:val="3"/>
          <w:numId w:val="12"/>
        </w:numPr>
        <w:tabs>
          <w:tab w:val="clear" w:pos="720"/>
          <w:tab w:val="clear" w:pos="2160"/>
          <w:tab w:val="left" w:pos="1440"/>
        </w:tabs>
        <w:spacing w:line="240" w:lineRule="auto"/>
        <w:ind w:left="0" w:firstLine="720"/>
        <w:rPr>
          <w:szCs w:val="22"/>
        </w:rPr>
      </w:pPr>
      <w:r>
        <w:rPr>
          <w:szCs w:val="22"/>
        </w:rPr>
        <w:t>Contractor represents and warrants that it is not an entity that was set up, or is being used, for the purpose of evading the intent of the MCO.</w:t>
      </w:r>
    </w:p>
    <w:p w:rsidR="00FF14C5" w:rsidRPr="00C40939" w:rsidRDefault="001D2019" w:rsidP="001D2019">
      <w:pPr>
        <w:pStyle w:val="Level4"/>
        <w:tabs>
          <w:tab w:val="clear" w:pos="2160"/>
          <w:tab w:val="clear" w:pos="3600"/>
          <w:tab w:val="left" w:pos="1440"/>
        </w:tabs>
        <w:spacing w:line="240" w:lineRule="auto"/>
        <w:ind w:left="0" w:firstLine="720"/>
        <w:rPr>
          <w:szCs w:val="24"/>
        </w:rPr>
      </w:pPr>
      <w:r>
        <w:rPr>
          <w:szCs w:val="22"/>
        </w:rPr>
        <w:t>If Contractor is exempt from the MCO when this Agreement is executed because the cumulative amount of agreements with this department for the fiscal year is less than $25,000, but Contractor later enters into an agreement or agreements that cause contractor to exceed that amount in a fiscal year, Contractor shall thereafter be required to comply with the MCO under this Agreement.  This obligation arises on the effective date of the agreement that causes the cumulative amount of agreements between the Contractor and this department to exceed $25,000 in the fiscal year.</w:t>
      </w:r>
    </w:p>
    <w:p w:rsidR="00FF14C5" w:rsidRPr="00C40939" w:rsidRDefault="00FF14C5" w:rsidP="00C40939">
      <w:pPr>
        <w:pStyle w:val="Level3"/>
        <w:tabs>
          <w:tab w:val="left" w:pos="720"/>
        </w:tabs>
        <w:spacing w:line="240" w:lineRule="auto"/>
        <w:ind w:left="0" w:firstLine="0"/>
        <w:rPr>
          <w:szCs w:val="24"/>
        </w:rPr>
      </w:pPr>
      <w:r w:rsidRPr="00C40939">
        <w:rPr>
          <w:b/>
          <w:szCs w:val="24"/>
        </w:rPr>
        <w:t>MacBride Principles—</w:t>
      </w:r>
      <w:smartTag w:uri="urn:schemas-microsoft-com:office:smarttags" w:element="country-region">
        <w:smartTag w:uri="urn:schemas-microsoft-com:office:smarttags" w:element="place">
          <w:r w:rsidRPr="00C40939">
            <w:rPr>
              <w:b/>
              <w:szCs w:val="24"/>
            </w:rPr>
            <w:t>Northern Ireland</w:t>
          </w:r>
        </w:smartTag>
      </w:smartTag>
      <w:r w:rsidRPr="00C40939">
        <w:rPr>
          <w:szCs w:val="24"/>
        </w:rPr>
        <w:t xml:space="preserve">.  Pursuant to San Francisco Administrative Code §12F.5, the City and County of San Francisco urges companies doing business in Northern Ireland to move towards resolving employment inequities, and encourages such companies to abide by the MacBride Principles.  The City and </w:t>
      </w:r>
      <w:smartTag w:uri="urn:schemas-microsoft-com:office:smarttags" w:element="PlaceType">
        <w:r w:rsidRPr="00C40939">
          <w:rPr>
            <w:szCs w:val="24"/>
          </w:rPr>
          <w:t>County</w:t>
        </w:r>
      </w:smartTag>
      <w:r w:rsidRPr="00C40939">
        <w:rPr>
          <w:szCs w:val="24"/>
        </w:rPr>
        <w:t xml:space="preserve"> of </w:t>
      </w:r>
      <w:smartTag w:uri="urn:schemas-microsoft-com:office:smarttags" w:element="PlaceName">
        <w:r w:rsidRPr="00C40939">
          <w:rPr>
            <w:szCs w:val="24"/>
          </w:rPr>
          <w:t>San Francisco</w:t>
        </w:r>
      </w:smartTag>
      <w:r w:rsidRPr="00C40939">
        <w:rPr>
          <w:szCs w:val="24"/>
        </w:rPr>
        <w:t xml:space="preserve"> urges </w:t>
      </w:r>
      <w:smartTag w:uri="urn:schemas-microsoft-com:office:smarttags" w:element="City">
        <w:smartTag w:uri="urn:schemas-microsoft-com:office:smarttags" w:element="place">
          <w:r w:rsidRPr="00C40939">
            <w:rPr>
              <w:szCs w:val="24"/>
            </w:rPr>
            <w:t>San Francisco</w:t>
          </w:r>
        </w:smartTag>
      </w:smartTag>
      <w:r w:rsidRPr="00C40939">
        <w:rPr>
          <w:szCs w:val="24"/>
        </w:rPr>
        <w:t xml:space="preserve"> companies to do business with corporations that abide by the MacBride Principles.  By signing below, the person executing this agreement on behalf of Contractor acknowledges and agrees that he or she has read and understood this section.</w:t>
      </w:r>
    </w:p>
    <w:p w:rsidR="001D2019" w:rsidRDefault="00FF14C5" w:rsidP="001D2019">
      <w:pPr>
        <w:pStyle w:val="Level3"/>
        <w:tabs>
          <w:tab w:val="left" w:pos="720"/>
        </w:tabs>
        <w:spacing w:line="240" w:lineRule="auto"/>
        <w:ind w:left="0" w:firstLine="0"/>
      </w:pPr>
      <w:r w:rsidRPr="00C40939">
        <w:rPr>
          <w:b/>
          <w:szCs w:val="24"/>
        </w:rPr>
        <w:t xml:space="preserve"> Requiring Health Benefits for Covered Employees.</w:t>
      </w:r>
      <w:r w:rsidRPr="00C40939">
        <w:rPr>
          <w:szCs w:val="24"/>
        </w:rPr>
        <w:t xml:space="preserve"> </w:t>
      </w:r>
      <w:r w:rsidR="001D2019">
        <w:rPr>
          <w:szCs w:val="24"/>
        </w:rPr>
        <w:t xml:space="preserve"> </w:t>
      </w:r>
      <w:r w:rsidR="001D2019">
        <w:t>Contractor agrees to comply fully with and be bound by all of the provisions of the Health Care Accountability Ordinance (HCAO), as set forth in San Francisco Administrative Code Chapter 12Q, including the remedies provided, and implementing regulations, as the same may be amended from time to time.  The provisions of section 12Q.5.1 of Chapter 12Q are incorporated by reference and made a part of this Agreement as though fully set forth herein.  The text of the HCAO is available on the web at www.sfgov.org/olse.  Capitalized terms used in this Section and not defined in this Agreement shall have the meanings assigned to such terms in Chapter 12Q.</w:t>
      </w:r>
    </w:p>
    <w:p w:rsidR="001D2019" w:rsidRDefault="001D2019" w:rsidP="001D2019">
      <w:pPr>
        <w:pStyle w:val="Level4"/>
        <w:numPr>
          <w:ilvl w:val="3"/>
          <w:numId w:val="12"/>
        </w:numPr>
        <w:tabs>
          <w:tab w:val="clear" w:pos="720"/>
          <w:tab w:val="clear" w:pos="2160"/>
          <w:tab w:val="left" w:pos="1440"/>
        </w:tabs>
        <w:spacing w:line="240" w:lineRule="auto"/>
        <w:ind w:left="0" w:firstLine="720"/>
        <w:rPr>
          <w:szCs w:val="22"/>
        </w:rPr>
      </w:pPr>
      <w:r>
        <w:rPr>
          <w:szCs w:val="22"/>
        </w:rPr>
        <w:lastRenderedPageBreak/>
        <w:t>For each Covered Employee, Contractor shall provide the appropriate health benefit set forth in Section 12Q.3 of the HCAO.  If Contractor chooses to offer the health plan option, such health plan shall meet the minimum standards set forth by the San Francisco Health Commission.</w:t>
      </w:r>
    </w:p>
    <w:p w:rsidR="001D2019" w:rsidRDefault="001D2019" w:rsidP="001D2019">
      <w:pPr>
        <w:pStyle w:val="Level4"/>
        <w:numPr>
          <w:ilvl w:val="3"/>
          <w:numId w:val="12"/>
        </w:numPr>
        <w:tabs>
          <w:tab w:val="clear" w:pos="720"/>
          <w:tab w:val="clear" w:pos="2160"/>
          <w:tab w:val="left" w:pos="1440"/>
        </w:tabs>
        <w:spacing w:line="240" w:lineRule="auto"/>
        <w:ind w:left="0" w:firstLine="720"/>
        <w:rPr>
          <w:szCs w:val="22"/>
        </w:rPr>
      </w:pPr>
      <w:r>
        <w:rPr>
          <w:szCs w:val="22"/>
        </w:rPr>
        <w:t>Notwithstanding the above, if the Contractor is a small business as defined in Section 12Q.3(e) of the HCAO, it shall have no obligation to comply with part (a) above.</w:t>
      </w:r>
    </w:p>
    <w:p w:rsidR="001D2019" w:rsidRDefault="001D2019" w:rsidP="001D2019">
      <w:pPr>
        <w:pStyle w:val="Level4"/>
        <w:numPr>
          <w:ilvl w:val="3"/>
          <w:numId w:val="12"/>
        </w:numPr>
        <w:tabs>
          <w:tab w:val="clear" w:pos="720"/>
          <w:tab w:val="clear" w:pos="2160"/>
          <w:tab w:val="left" w:pos="1440"/>
        </w:tabs>
        <w:spacing w:line="240" w:lineRule="auto"/>
        <w:ind w:left="0" w:firstLine="720"/>
        <w:rPr>
          <w:szCs w:val="22"/>
        </w:rPr>
      </w:pPr>
      <w:r>
        <w:rPr>
          <w:szCs w:val="22"/>
        </w:rPr>
        <w:t>Contractor’s failure to comply with the HCAO shall constitute a material breach of this agreement. City shall notify Contractor if such a breach has occurred.  If, within 30 days after receiving City’s written notice of a breach of this Agreement for violating the HCAO, Contractor fails to cure such breach or, if such breach cannot reasonably be cured within such period of 30 days, Contractor fails to commence efforts to cure within such period, or thereafter fails diligently to pursue such cure to completion, City shall have the right to pursue the remedies set forth in 12Q.5.1 and 12Q.5(f)(1-6).  Each of these remedies shall be exercisable individually or in combination with any other rights or remedies available to City.</w:t>
      </w:r>
    </w:p>
    <w:p w:rsidR="001D2019" w:rsidRDefault="001D2019" w:rsidP="001D2019">
      <w:pPr>
        <w:pStyle w:val="Level4"/>
        <w:numPr>
          <w:ilvl w:val="3"/>
          <w:numId w:val="12"/>
        </w:numPr>
        <w:tabs>
          <w:tab w:val="clear" w:pos="720"/>
          <w:tab w:val="clear" w:pos="2160"/>
          <w:tab w:val="left" w:pos="1440"/>
        </w:tabs>
        <w:spacing w:line="240" w:lineRule="auto"/>
        <w:ind w:left="0" w:firstLine="720"/>
        <w:rPr>
          <w:szCs w:val="22"/>
        </w:rPr>
      </w:pPr>
      <w:r>
        <w:rPr>
          <w:szCs w:val="22"/>
        </w:rPr>
        <w:t>Any Subcontract entered into by Contractor shall require the Subcontractor to comply with the requirements of the HCAO and shall contain contractual obligations substantially the same as those set forth in this Section. Contractor shall notify City’s Office of Contract Administration when it enters into such a Subcontract and shall certify to the Office of Contract Administration that it has notified the Subcontractor of the obligations under the HCAO and has imposed the requirements of the HCAO on Subcontractor through the Subcontract.  Each Contractor shall be responsible for its Subcontractors’ compliance with this Chapter. If a Subcontractor fails to comply, the City may pursue the remedies set forth in this Section against Contractor based on the Subcontractor’s failure to comply, provided that City has first provided Contractor with notice and an opportunity to obtain a cure of the violation.</w:t>
      </w:r>
    </w:p>
    <w:p w:rsidR="001D2019" w:rsidRDefault="001D2019" w:rsidP="001D2019">
      <w:pPr>
        <w:pStyle w:val="Level4"/>
        <w:numPr>
          <w:ilvl w:val="3"/>
          <w:numId w:val="12"/>
        </w:numPr>
        <w:tabs>
          <w:tab w:val="clear" w:pos="720"/>
          <w:tab w:val="clear" w:pos="2160"/>
          <w:tab w:val="left" w:pos="1440"/>
        </w:tabs>
        <w:spacing w:line="240" w:lineRule="auto"/>
        <w:ind w:left="0" w:firstLine="720"/>
        <w:rPr>
          <w:szCs w:val="22"/>
        </w:rPr>
      </w:pPr>
      <w:r>
        <w:rPr>
          <w:szCs w:val="22"/>
        </w:rPr>
        <w:t>Contractor shall not discharge, reduce in compensation, or otherwise discriminate against any employee for notifying City with regard to Contractor’s noncompliance or anticipated noncompliance with the requirements of the HCAO, for opposing any practice proscribed by the HCAO, for participating in proceedings related to the HCAO, or for seeking to assert or enforce any rights under the HCAO by any lawful means.</w:t>
      </w:r>
    </w:p>
    <w:p w:rsidR="001D2019" w:rsidRDefault="001D2019" w:rsidP="001D2019">
      <w:pPr>
        <w:pStyle w:val="Level4"/>
        <w:numPr>
          <w:ilvl w:val="3"/>
          <w:numId w:val="12"/>
        </w:numPr>
        <w:tabs>
          <w:tab w:val="clear" w:pos="720"/>
          <w:tab w:val="clear" w:pos="2160"/>
          <w:tab w:val="left" w:pos="1440"/>
        </w:tabs>
        <w:spacing w:line="240" w:lineRule="auto"/>
        <w:ind w:left="0" w:firstLine="720"/>
        <w:rPr>
          <w:szCs w:val="22"/>
        </w:rPr>
      </w:pPr>
      <w:r>
        <w:rPr>
          <w:szCs w:val="22"/>
        </w:rPr>
        <w:t>Contractor represents and warrants that it is not an entity that was set up, or is being used, for the purpose of evading the intent of the HCAO.</w:t>
      </w:r>
    </w:p>
    <w:p w:rsidR="001D2019" w:rsidRDefault="001D2019" w:rsidP="001D2019">
      <w:pPr>
        <w:pStyle w:val="Level4"/>
        <w:numPr>
          <w:ilvl w:val="3"/>
          <w:numId w:val="12"/>
        </w:numPr>
        <w:tabs>
          <w:tab w:val="clear" w:pos="720"/>
          <w:tab w:val="clear" w:pos="2160"/>
          <w:tab w:val="left" w:pos="1440"/>
        </w:tabs>
        <w:spacing w:line="240" w:lineRule="auto"/>
        <w:ind w:left="0" w:firstLine="720"/>
        <w:rPr>
          <w:szCs w:val="22"/>
        </w:rPr>
      </w:pPr>
      <w:r>
        <w:rPr>
          <w:szCs w:val="22"/>
        </w:rPr>
        <w:t>Contractor shall maintain employee and payroll records in compliance with the California Labor Code and Industrial Welfare Commission orders, including the number of hours each employee has worked on the City Contract.</w:t>
      </w:r>
      <w:r>
        <w:rPr>
          <w:szCs w:val="22"/>
        </w:rPr>
        <w:tab/>
      </w:r>
    </w:p>
    <w:p w:rsidR="001D2019" w:rsidRDefault="001D2019" w:rsidP="001D2019">
      <w:pPr>
        <w:pStyle w:val="Level4"/>
        <w:numPr>
          <w:ilvl w:val="3"/>
          <w:numId w:val="12"/>
        </w:numPr>
        <w:tabs>
          <w:tab w:val="clear" w:pos="720"/>
          <w:tab w:val="clear" w:pos="2160"/>
          <w:tab w:val="left" w:pos="1440"/>
        </w:tabs>
        <w:spacing w:line="240" w:lineRule="auto"/>
        <w:ind w:left="0" w:firstLine="720"/>
        <w:rPr>
          <w:szCs w:val="22"/>
        </w:rPr>
      </w:pPr>
      <w:r>
        <w:rPr>
          <w:szCs w:val="22"/>
        </w:rPr>
        <w:t>Contractor shall keep itself informed of the current requirements of the HCAO.</w:t>
      </w:r>
    </w:p>
    <w:p w:rsidR="001D2019" w:rsidRDefault="001D2019" w:rsidP="001D2019">
      <w:pPr>
        <w:pStyle w:val="Level4"/>
        <w:numPr>
          <w:ilvl w:val="3"/>
          <w:numId w:val="12"/>
        </w:numPr>
        <w:tabs>
          <w:tab w:val="clear" w:pos="720"/>
          <w:tab w:val="clear" w:pos="2160"/>
          <w:tab w:val="left" w:pos="1440"/>
        </w:tabs>
        <w:spacing w:line="240" w:lineRule="auto"/>
        <w:ind w:left="0" w:firstLine="720"/>
        <w:rPr>
          <w:szCs w:val="22"/>
        </w:rPr>
      </w:pPr>
      <w:r>
        <w:rPr>
          <w:szCs w:val="22"/>
        </w:rPr>
        <w:t>Contractor shall provide reports to the City in accordance with any reporting standards promulgated by the City under the HCAO, including reports on Subcontractors and Subtenants, as applicable.</w:t>
      </w:r>
    </w:p>
    <w:p w:rsidR="001D2019" w:rsidRDefault="001D2019" w:rsidP="001D2019">
      <w:pPr>
        <w:pStyle w:val="Level4"/>
        <w:numPr>
          <w:ilvl w:val="3"/>
          <w:numId w:val="12"/>
        </w:numPr>
        <w:tabs>
          <w:tab w:val="clear" w:pos="720"/>
          <w:tab w:val="clear" w:pos="2160"/>
          <w:tab w:val="left" w:pos="1440"/>
        </w:tabs>
        <w:spacing w:line="240" w:lineRule="auto"/>
        <w:ind w:left="0" w:firstLine="720"/>
        <w:rPr>
          <w:szCs w:val="22"/>
        </w:rPr>
      </w:pPr>
      <w:r>
        <w:rPr>
          <w:szCs w:val="22"/>
        </w:rPr>
        <w:t>Contractor shall provide City with access to records pertaining to compliance with HCAO after receiving a written request from City to do so and being provided at least ten business days to respond.</w:t>
      </w:r>
    </w:p>
    <w:p w:rsidR="001D2019" w:rsidRDefault="001D2019" w:rsidP="001D2019">
      <w:pPr>
        <w:pStyle w:val="Level4"/>
        <w:numPr>
          <w:ilvl w:val="3"/>
          <w:numId w:val="12"/>
        </w:numPr>
        <w:tabs>
          <w:tab w:val="clear" w:pos="720"/>
          <w:tab w:val="clear" w:pos="2160"/>
          <w:tab w:val="left" w:pos="1440"/>
        </w:tabs>
        <w:spacing w:line="240" w:lineRule="auto"/>
        <w:ind w:left="0" w:firstLine="720"/>
        <w:rPr>
          <w:szCs w:val="22"/>
        </w:rPr>
      </w:pPr>
      <w:r>
        <w:rPr>
          <w:szCs w:val="22"/>
        </w:rPr>
        <w:lastRenderedPageBreak/>
        <w:t>Contractor shall allow City to inspect Contractor’s job sites and have access to Contractor’s employees in order to monitor and determine compliance with HCAO.</w:t>
      </w:r>
    </w:p>
    <w:p w:rsidR="001D2019" w:rsidRDefault="001D2019" w:rsidP="001D2019">
      <w:pPr>
        <w:pStyle w:val="Level4"/>
        <w:numPr>
          <w:ilvl w:val="3"/>
          <w:numId w:val="12"/>
        </w:numPr>
        <w:tabs>
          <w:tab w:val="clear" w:pos="720"/>
          <w:tab w:val="clear" w:pos="2160"/>
          <w:tab w:val="left" w:pos="1440"/>
        </w:tabs>
        <w:spacing w:line="240" w:lineRule="auto"/>
        <w:ind w:left="0" w:firstLine="720"/>
        <w:rPr>
          <w:szCs w:val="22"/>
        </w:rPr>
      </w:pPr>
      <w:r>
        <w:rPr>
          <w:szCs w:val="22"/>
        </w:rPr>
        <w:t>City may conduct random audits of Contractor to ascertain its compliance with HCAO.  Contractor agrees to cooperate with City when it conducts such audits.</w:t>
      </w:r>
    </w:p>
    <w:p w:rsidR="00FF14C5" w:rsidRPr="00C40939" w:rsidRDefault="001D2019" w:rsidP="001D2019">
      <w:pPr>
        <w:pStyle w:val="Level4"/>
        <w:tabs>
          <w:tab w:val="clear" w:pos="2160"/>
          <w:tab w:val="clear" w:pos="3600"/>
          <w:tab w:val="left" w:pos="1440"/>
        </w:tabs>
        <w:spacing w:line="240" w:lineRule="auto"/>
        <w:ind w:left="0" w:firstLine="720"/>
        <w:rPr>
          <w:szCs w:val="24"/>
        </w:rPr>
      </w:pPr>
      <w:r>
        <w:rPr>
          <w:szCs w:val="22"/>
        </w:rPr>
        <w:t>If Contractor is exempt from the HCAO when this Agreement is executed because its amount is less than $25,000 ($50,000 for nonprofits), but Contractor later enters into an agreement or agreements that cause Contractor’s aggregate amount of all agreements with City to reach $75,000, all the agreements shall be thereafter subject to the HCAO.  This obligation arises on the effective date of the agreement that causes the cumulative amount of agreements between Contractor and the City to be equal to or greater than $75,000 in the fiscal year.</w:t>
      </w:r>
    </w:p>
    <w:p w:rsidR="00FF14C5" w:rsidRPr="00C40939" w:rsidRDefault="00FF14C5" w:rsidP="00C40939">
      <w:pPr>
        <w:pStyle w:val="Level3"/>
        <w:tabs>
          <w:tab w:val="left" w:pos="720"/>
        </w:tabs>
        <w:spacing w:line="240" w:lineRule="auto"/>
        <w:ind w:left="0" w:firstLine="0"/>
        <w:rPr>
          <w:szCs w:val="24"/>
        </w:rPr>
      </w:pPr>
      <w:r w:rsidRPr="00C40939">
        <w:rPr>
          <w:b/>
          <w:szCs w:val="24"/>
        </w:rPr>
        <w:t>Tropical Hardwood and Virgin Redwood Ban</w:t>
      </w:r>
      <w:r w:rsidRPr="00C40939">
        <w:rPr>
          <w:szCs w:val="24"/>
        </w:rPr>
        <w:t>.  Pursuant to §804(b) of the San Francisco Environment Code, the City and County of San Francisco urges contractors not to import, purchase, obtain, or use for any purpose, any tropical hardwood, tropical hardwood wood product, virgin redwood or virgin redwood wood product.</w:t>
      </w:r>
    </w:p>
    <w:p w:rsidR="00FF14C5" w:rsidRPr="00C40939" w:rsidRDefault="00FF14C5" w:rsidP="00C40939">
      <w:pPr>
        <w:pStyle w:val="Level3"/>
        <w:tabs>
          <w:tab w:val="left" w:pos="720"/>
        </w:tabs>
        <w:spacing w:line="240" w:lineRule="auto"/>
        <w:ind w:left="0" w:firstLine="0"/>
        <w:rPr>
          <w:szCs w:val="24"/>
        </w:rPr>
      </w:pPr>
      <w:r w:rsidRPr="00C40939">
        <w:rPr>
          <w:b/>
          <w:szCs w:val="24"/>
        </w:rPr>
        <w:t>Drug Free Workplace.</w:t>
      </w:r>
      <w:r w:rsidRPr="00C40939">
        <w:rPr>
          <w:szCs w:val="24"/>
        </w:rPr>
        <w:t xml:space="preserve">  Contractor acknowledges that pursuant to the Federal Drug-Free Workplace Act of 1989, the unlawful manufacture, distribution, dispensation, possession, or use of a controlled substance is prohibited on City premises.  Contractor agrees that any violation of this prohibition by the Contractor, its employees, agents or assigns shall be deemed a material breach of contract.</w:t>
      </w:r>
    </w:p>
    <w:p w:rsidR="00FF14C5" w:rsidRPr="00C40939" w:rsidRDefault="00FF14C5" w:rsidP="00C40939">
      <w:pPr>
        <w:pStyle w:val="Level3"/>
        <w:tabs>
          <w:tab w:val="left" w:pos="720"/>
        </w:tabs>
        <w:spacing w:line="240" w:lineRule="auto"/>
        <w:ind w:left="0" w:firstLine="0"/>
        <w:rPr>
          <w:szCs w:val="24"/>
        </w:rPr>
      </w:pPr>
      <w:r w:rsidRPr="00C40939">
        <w:rPr>
          <w:b/>
          <w:szCs w:val="24"/>
        </w:rPr>
        <w:t>Sunshine Ordinance.</w:t>
      </w:r>
      <w:r w:rsidRPr="00C40939">
        <w:rPr>
          <w:szCs w:val="24"/>
        </w:rPr>
        <w:t xml:space="preserve">  In accordance with Section 67.24(e) of the San Francisco Administrative Code, contracts, contractors' bids, responses to RFPs and all other records of communications between City and persons or firms seeking contracts shall be open to inspection immediately after a contract has been awarded.  Nothing in this provision requires the disclosure of a private person's or organization's net worth or other proprietary financial data submitted for qualification for a contract or other benefit until and unless that person or organization is awarded the contract or benefit.  Information provided which is covered by this paragraph will be made available to the public upon request.</w:t>
      </w:r>
    </w:p>
    <w:p w:rsidR="00FF14C5" w:rsidRPr="00C40939" w:rsidRDefault="00FF14C5" w:rsidP="00C40939">
      <w:pPr>
        <w:pStyle w:val="Level3"/>
        <w:tabs>
          <w:tab w:val="left" w:pos="720"/>
        </w:tabs>
        <w:spacing w:line="240" w:lineRule="auto"/>
        <w:ind w:left="0" w:firstLine="0"/>
        <w:rPr>
          <w:szCs w:val="24"/>
        </w:rPr>
      </w:pPr>
      <w:r w:rsidRPr="00C40939">
        <w:rPr>
          <w:b/>
          <w:szCs w:val="24"/>
        </w:rPr>
        <w:t>Public Access to Meetings and Records.</w:t>
      </w:r>
      <w:r w:rsidRPr="00C40939">
        <w:rPr>
          <w:szCs w:val="24"/>
        </w:rPr>
        <w:t xml:space="preserve">  </w:t>
      </w:r>
      <w:r w:rsidRPr="00C40939">
        <w:rPr>
          <w:szCs w:val="24"/>
        </w:rPr>
        <w:tab/>
        <w:t xml:space="preserve">If the Contractor receives a cumulative total per year of at least $250,000 in City funds or City-administered funds and is a non-profit organization as defined in Chapter 12L of the San Francisco Administrative Code, the Contractor shall comply with and be bound by all the applicable provisions of Chapter 12L.  By executing this Agreement, the Contractor agrees to open its meetings and records to the public in the manner set forth in Sections 12L.4 and 12L.5 of the Administrative Code.  The Contractor further agrees to make-good faith efforts to promote community membership on its Board of Directors in the manner set forth in Section 12L.6 of the Administrative Code.  The Contractor acknowledges that its material failure to comply with any of the provisions of this paragraph shall constitute a material breach of this Agreement.  The Contractor further acknowledges that such material breach of the Agreement shall be grounds for the City to terminate and/or not renew the Agreement, partially or in its entirety. </w:t>
      </w:r>
    </w:p>
    <w:p w:rsidR="00476FE7" w:rsidRDefault="00476FE7" w:rsidP="00476FE7">
      <w:pPr>
        <w:pStyle w:val="Level3"/>
        <w:numPr>
          <w:ilvl w:val="2"/>
          <w:numId w:val="12"/>
        </w:numPr>
        <w:tabs>
          <w:tab w:val="left" w:pos="720"/>
        </w:tabs>
        <w:spacing w:line="240" w:lineRule="auto"/>
        <w:ind w:left="0" w:firstLine="0"/>
        <w:rPr>
          <w:b/>
          <w:szCs w:val="22"/>
        </w:rPr>
      </w:pPr>
      <w:r>
        <w:rPr>
          <w:b/>
          <w:szCs w:val="22"/>
        </w:rPr>
        <w:t>First Source Hiring Program</w:t>
      </w:r>
    </w:p>
    <w:p w:rsidR="00476FE7" w:rsidRDefault="00476FE7" w:rsidP="00476FE7">
      <w:pPr>
        <w:pStyle w:val="Level4"/>
        <w:numPr>
          <w:ilvl w:val="3"/>
          <w:numId w:val="12"/>
        </w:numPr>
        <w:tabs>
          <w:tab w:val="clear" w:pos="720"/>
          <w:tab w:val="clear" w:pos="2160"/>
          <w:tab w:val="left" w:pos="1440"/>
        </w:tabs>
        <w:spacing w:line="240" w:lineRule="auto"/>
        <w:ind w:left="0" w:firstLine="720"/>
        <w:rPr>
          <w:szCs w:val="22"/>
        </w:rPr>
      </w:pPr>
      <w:r>
        <w:rPr>
          <w:b/>
          <w:szCs w:val="22"/>
        </w:rPr>
        <w:t xml:space="preserve">Incorporation of Administrative Code Provisions by Reference.  </w:t>
      </w:r>
    </w:p>
    <w:p w:rsidR="00476FE7" w:rsidRDefault="00476FE7" w:rsidP="00476FE7">
      <w:pPr>
        <w:pStyle w:val="BodyText"/>
        <w:spacing w:line="240" w:lineRule="auto"/>
        <w:ind w:firstLine="1440"/>
      </w:pPr>
      <w:r>
        <w:t xml:space="preserve">The provisions of Chapter 83 of the San Francisco Administrative Code are incorporated in this Section by reference and made a part of this Agreement as though fully set </w:t>
      </w:r>
      <w:r>
        <w:lastRenderedPageBreak/>
        <w:t>forth herein.  Contractor shall comply fully with, and be bound by, all of the provisions that apply to this Agreement under such Chapter, including but not limited to the remedies provided therein.  Capitalized terms used in this Section and not defined in this Agreement shall have the meanings assigned to such terms in Chapter 83.</w:t>
      </w:r>
    </w:p>
    <w:p w:rsidR="00476FE7" w:rsidRDefault="00476FE7" w:rsidP="00476FE7">
      <w:pPr>
        <w:pStyle w:val="Level4"/>
        <w:numPr>
          <w:ilvl w:val="3"/>
          <w:numId w:val="12"/>
        </w:numPr>
        <w:tabs>
          <w:tab w:val="clear" w:pos="720"/>
          <w:tab w:val="clear" w:pos="2160"/>
          <w:tab w:val="left" w:pos="1440"/>
        </w:tabs>
        <w:spacing w:line="240" w:lineRule="auto"/>
        <w:ind w:left="0" w:firstLine="720"/>
        <w:rPr>
          <w:szCs w:val="22"/>
        </w:rPr>
      </w:pPr>
      <w:r>
        <w:rPr>
          <w:b/>
          <w:szCs w:val="22"/>
        </w:rPr>
        <w:t>First Source Hiring Agreement.</w:t>
      </w:r>
      <w:r>
        <w:rPr>
          <w:szCs w:val="22"/>
        </w:rPr>
        <w:t xml:space="preserve">  </w:t>
      </w:r>
    </w:p>
    <w:p w:rsidR="00476FE7" w:rsidRDefault="00476FE7" w:rsidP="00476FE7">
      <w:pPr>
        <w:pStyle w:val="BodyText"/>
        <w:spacing w:line="240" w:lineRule="auto"/>
        <w:ind w:firstLine="1440"/>
        <w:rPr>
          <w:szCs w:val="22"/>
        </w:rPr>
      </w:pPr>
      <w:r>
        <w:rPr>
          <w:szCs w:val="22"/>
        </w:rPr>
        <w:t>As an essential term of, and consideration for, any contract or property contract with the City, not exempted by the FSHA, the Contractor shall enter into a first source hiring agreement ("agreement") with the City, on or before the effective date of the contract or property contract. Contractors shall also enter into an agreement with the City for any other work that it performs in the City. Such agreement shall:</w:t>
      </w:r>
    </w:p>
    <w:p w:rsidR="00476FE7" w:rsidRDefault="00476FE7" w:rsidP="00476FE7">
      <w:pPr>
        <w:pStyle w:val="Level5"/>
        <w:numPr>
          <w:ilvl w:val="4"/>
          <w:numId w:val="12"/>
        </w:numPr>
        <w:tabs>
          <w:tab w:val="clear" w:pos="720"/>
          <w:tab w:val="clear" w:pos="2880"/>
          <w:tab w:val="clear" w:pos="3600"/>
          <w:tab w:val="left" w:pos="2160"/>
        </w:tabs>
        <w:spacing w:line="240" w:lineRule="auto"/>
        <w:ind w:left="0" w:firstLine="1440"/>
        <w:rPr>
          <w:szCs w:val="22"/>
        </w:rPr>
      </w:pPr>
      <w:r>
        <w:rPr>
          <w:szCs w:val="22"/>
        </w:rPr>
        <w:t>Set appropriate hiring and retention goals for entry level positions. The employer shall agree to achieve these hiring and retention goals, or, if unable to achieve these goals, to establish good faith efforts as to its attempts to do so, as set forth in the agreement. The agreement shall take into consideration the employer's participation in existing job training, referral and/or brokerage programs. Within the discretion of the FSHA, subject to appropriate modifications, participation in such programs maybe certified as meeting the requirements of this Chapter. Failure either to achieve the specified goal, or to establish good faith efforts will constitute noncompliance and will subject the employer to the provisions of Section 83.10 of this Chapter.</w:t>
      </w:r>
    </w:p>
    <w:p w:rsidR="00476FE7" w:rsidRDefault="00476FE7" w:rsidP="00476FE7">
      <w:pPr>
        <w:pStyle w:val="Level5"/>
        <w:numPr>
          <w:ilvl w:val="4"/>
          <w:numId w:val="12"/>
        </w:numPr>
        <w:tabs>
          <w:tab w:val="clear" w:pos="720"/>
          <w:tab w:val="clear" w:pos="2880"/>
          <w:tab w:val="clear" w:pos="3600"/>
          <w:tab w:val="left" w:pos="2160"/>
        </w:tabs>
        <w:spacing w:line="240" w:lineRule="auto"/>
        <w:ind w:left="0" w:firstLine="1440"/>
        <w:rPr>
          <w:szCs w:val="22"/>
        </w:rPr>
      </w:pPr>
      <w:r>
        <w:rPr>
          <w:szCs w:val="22"/>
        </w:rPr>
        <w:t>Set first source interviewing, recruitment and hiring requirements, which will provide the San Francisco Workforce Development System with the first opportunity to provide qualified economically disadvantaged individuals for consideration for employment for entry level positions. Employers shall consider all applications of qualified economically disadvantaged individuals referred by the System for employment; provided however, if the employer utilizes nondiscriminatory screening criteria, the employer shall have the sole discretion to interview and/or hire individuals referred or certified by the San Francisco Workforce Development System as being qualified economically disadvantaged individuals. The duration of the first source interviewing requirement shall be determined by the FSHA and shall be set forth in each agreement, but shall not exceed 10 days. During that period, the employer may publicize the entry level positions in accordance with the agreement. A need for urgent or temporary hires must be evaluated, and appropriate provisions for such a situation must be made in the agreement.</w:t>
      </w:r>
    </w:p>
    <w:p w:rsidR="00476FE7" w:rsidRDefault="00476FE7" w:rsidP="00476FE7">
      <w:pPr>
        <w:pStyle w:val="Level5"/>
        <w:numPr>
          <w:ilvl w:val="4"/>
          <w:numId w:val="12"/>
        </w:numPr>
        <w:tabs>
          <w:tab w:val="clear" w:pos="720"/>
          <w:tab w:val="clear" w:pos="2880"/>
          <w:tab w:val="clear" w:pos="3600"/>
          <w:tab w:val="left" w:pos="2160"/>
        </w:tabs>
        <w:spacing w:line="240" w:lineRule="auto"/>
        <w:ind w:left="0" w:firstLine="1440"/>
        <w:rPr>
          <w:szCs w:val="22"/>
        </w:rPr>
      </w:pPr>
      <w:r>
        <w:rPr>
          <w:szCs w:val="22"/>
        </w:rPr>
        <w:t>Set appropriate requirements for providing notification of available entry level positions to the San Francisco Workforce Development System so that the System may train and refer an adequate pool of qualified economically disadvantaged individuals to participating employers. Notification should include such information as employment needs by occupational title, skills, and/or experience required, the hours required, wage scale and duration of employment, identification of entry level and training positions, identification of English language proficiency requirements, or absence thereof, and the projected schedule and procedures for hiring for each occupation. Employers should provide both long-term job need projections and notice before initiating the interviewing and hiring process. These notification requirements will take into consideration any need to protect the employer's proprietary information.</w:t>
      </w:r>
    </w:p>
    <w:p w:rsidR="00476FE7" w:rsidRDefault="00476FE7" w:rsidP="00476FE7">
      <w:pPr>
        <w:pStyle w:val="Level5"/>
        <w:numPr>
          <w:ilvl w:val="4"/>
          <w:numId w:val="12"/>
        </w:numPr>
        <w:tabs>
          <w:tab w:val="clear" w:pos="720"/>
          <w:tab w:val="clear" w:pos="2880"/>
          <w:tab w:val="clear" w:pos="3600"/>
          <w:tab w:val="left" w:pos="2160"/>
        </w:tabs>
        <w:spacing w:line="240" w:lineRule="auto"/>
        <w:ind w:left="0" w:firstLine="1440"/>
        <w:rPr>
          <w:szCs w:val="22"/>
        </w:rPr>
      </w:pPr>
      <w:r>
        <w:rPr>
          <w:szCs w:val="22"/>
        </w:rPr>
        <w:lastRenderedPageBreak/>
        <w:t>Set appropriate record keeping and monitoring requirements. The First Source Hiring Administration shall develop easy-to-use forms and record keeping requirements for documenting compliance with the agreement. To the greatest extent possible, these requirements shall utilize the employer's existing record keeping systems, be nonduplicative, and facilitate a coordinated flow of information and referrals.</w:t>
      </w:r>
    </w:p>
    <w:p w:rsidR="00476FE7" w:rsidRDefault="00476FE7" w:rsidP="00476FE7">
      <w:pPr>
        <w:pStyle w:val="Level5"/>
        <w:numPr>
          <w:ilvl w:val="4"/>
          <w:numId w:val="12"/>
        </w:numPr>
        <w:tabs>
          <w:tab w:val="clear" w:pos="720"/>
          <w:tab w:val="clear" w:pos="2880"/>
          <w:tab w:val="clear" w:pos="3600"/>
          <w:tab w:val="left" w:pos="2160"/>
        </w:tabs>
        <w:spacing w:line="240" w:lineRule="auto"/>
        <w:ind w:left="0" w:firstLine="1440"/>
        <w:rPr>
          <w:szCs w:val="22"/>
        </w:rPr>
      </w:pPr>
      <w:r>
        <w:rPr>
          <w:szCs w:val="22"/>
        </w:rPr>
        <w:t>Establish guidelines for employer good faith efforts to comply with the first source hiring requirements of this Chapter. The FSHA will work with City departments to develop employer good faith effort requirements appropriate to the types of contracts and property contracts handled by each department. Employers shall appoint a liaison for dealing with the development and implementation of the employer's agreement. In the event that the FSHA finds that the employer under a City contract or property contract has taken actions primarily for the purpose of circumventing the requirements of this Chapter, that employer shall be subject to the sanctions set forth in Section 83.10 of this Chapter.</w:t>
      </w:r>
    </w:p>
    <w:p w:rsidR="00476FE7" w:rsidRDefault="00476FE7" w:rsidP="00476FE7">
      <w:pPr>
        <w:pStyle w:val="Level5"/>
        <w:numPr>
          <w:ilvl w:val="4"/>
          <w:numId w:val="12"/>
        </w:numPr>
        <w:tabs>
          <w:tab w:val="clear" w:pos="720"/>
          <w:tab w:val="clear" w:pos="2880"/>
          <w:tab w:val="clear" w:pos="3600"/>
          <w:tab w:val="left" w:pos="2160"/>
        </w:tabs>
        <w:spacing w:line="240" w:lineRule="auto"/>
        <w:ind w:left="0" w:firstLine="1440"/>
        <w:rPr>
          <w:szCs w:val="22"/>
        </w:rPr>
      </w:pPr>
      <w:r>
        <w:rPr>
          <w:szCs w:val="22"/>
        </w:rPr>
        <w:t>Set the term of the requirements.</w:t>
      </w:r>
    </w:p>
    <w:p w:rsidR="00476FE7" w:rsidRDefault="00476FE7" w:rsidP="00476FE7">
      <w:pPr>
        <w:pStyle w:val="Level5"/>
        <w:numPr>
          <w:ilvl w:val="4"/>
          <w:numId w:val="12"/>
        </w:numPr>
        <w:tabs>
          <w:tab w:val="clear" w:pos="720"/>
          <w:tab w:val="clear" w:pos="2880"/>
          <w:tab w:val="clear" w:pos="3600"/>
          <w:tab w:val="left" w:pos="2160"/>
        </w:tabs>
        <w:spacing w:line="240" w:lineRule="auto"/>
        <w:ind w:left="0" w:firstLine="1440"/>
        <w:rPr>
          <w:szCs w:val="22"/>
        </w:rPr>
      </w:pPr>
      <w:r>
        <w:rPr>
          <w:szCs w:val="22"/>
        </w:rPr>
        <w:t>Set appropriate enforcement and sanctioning standards consistent with this Chapter.</w:t>
      </w:r>
    </w:p>
    <w:p w:rsidR="00476FE7" w:rsidRDefault="00476FE7" w:rsidP="00476FE7">
      <w:pPr>
        <w:pStyle w:val="Level5"/>
        <w:numPr>
          <w:ilvl w:val="4"/>
          <w:numId w:val="12"/>
        </w:numPr>
        <w:tabs>
          <w:tab w:val="clear" w:pos="720"/>
          <w:tab w:val="clear" w:pos="2880"/>
          <w:tab w:val="clear" w:pos="3600"/>
          <w:tab w:val="left" w:pos="2160"/>
        </w:tabs>
        <w:spacing w:line="240" w:lineRule="auto"/>
        <w:ind w:left="0" w:firstLine="1440"/>
        <w:rPr>
          <w:szCs w:val="22"/>
        </w:rPr>
      </w:pPr>
      <w:r>
        <w:rPr>
          <w:szCs w:val="22"/>
        </w:rPr>
        <w:t>Set forth the City's obligations to develop training programs, job applicant referrals, technical assistance, and information systems that assist the employer in complying with this Chapter.</w:t>
      </w:r>
    </w:p>
    <w:p w:rsidR="00476FE7" w:rsidRDefault="00476FE7" w:rsidP="00476FE7">
      <w:pPr>
        <w:pStyle w:val="Level5"/>
        <w:numPr>
          <w:ilvl w:val="4"/>
          <w:numId w:val="12"/>
        </w:numPr>
        <w:tabs>
          <w:tab w:val="clear" w:pos="720"/>
          <w:tab w:val="clear" w:pos="2880"/>
          <w:tab w:val="clear" w:pos="3600"/>
          <w:tab w:val="left" w:pos="2160"/>
        </w:tabs>
        <w:spacing w:line="240" w:lineRule="auto"/>
        <w:ind w:left="0" w:firstLine="1440"/>
        <w:rPr>
          <w:szCs w:val="22"/>
        </w:rPr>
      </w:pPr>
      <w:r>
        <w:rPr>
          <w:szCs w:val="22"/>
        </w:rPr>
        <w:t>Require the developer to include notice of the requirements of this Chapter in leases, subleases, and other occupancy contracts.</w:t>
      </w:r>
    </w:p>
    <w:p w:rsidR="00476FE7" w:rsidRDefault="00476FE7" w:rsidP="00476FE7">
      <w:pPr>
        <w:pStyle w:val="Level4"/>
        <w:numPr>
          <w:ilvl w:val="3"/>
          <w:numId w:val="12"/>
        </w:numPr>
        <w:tabs>
          <w:tab w:val="clear" w:pos="720"/>
          <w:tab w:val="clear" w:pos="2160"/>
          <w:tab w:val="left" w:pos="1440"/>
        </w:tabs>
        <w:spacing w:line="240" w:lineRule="auto"/>
        <w:ind w:left="0" w:firstLine="720"/>
        <w:rPr>
          <w:b/>
          <w:szCs w:val="22"/>
        </w:rPr>
      </w:pPr>
      <w:r>
        <w:rPr>
          <w:b/>
          <w:szCs w:val="22"/>
        </w:rPr>
        <w:t>Hiring Decisions</w:t>
      </w:r>
    </w:p>
    <w:p w:rsidR="00476FE7" w:rsidRDefault="00476FE7" w:rsidP="00476FE7">
      <w:pPr>
        <w:pStyle w:val="BodyText"/>
        <w:spacing w:line="240" w:lineRule="auto"/>
        <w:ind w:firstLine="1440"/>
      </w:pPr>
      <w:r>
        <w:t>Contractor shall make the final determination of whether an Economically Disadvantaged Individual referred by the System is "qualified" for the position.</w:t>
      </w:r>
    </w:p>
    <w:p w:rsidR="00476FE7" w:rsidRDefault="00476FE7" w:rsidP="00476FE7">
      <w:pPr>
        <w:pStyle w:val="Level4"/>
        <w:numPr>
          <w:ilvl w:val="3"/>
          <w:numId w:val="12"/>
        </w:numPr>
        <w:tabs>
          <w:tab w:val="clear" w:pos="720"/>
          <w:tab w:val="clear" w:pos="2160"/>
          <w:tab w:val="left" w:pos="1440"/>
        </w:tabs>
        <w:spacing w:line="240" w:lineRule="auto"/>
        <w:ind w:left="0" w:firstLine="720"/>
        <w:rPr>
          <w:b/>
          <w:szCs w:val="22"/>
        </w:rPr>
      </w:pPr>
      <w:r>
        <w:rPr>
          <w:b/>
          <w:szCs w:val="22"/>
        </w:rPr>
        <w:t>Exceptions</w:t>
      </w:r>
    </w:p>
    <w:p w:rsidR="00476FE7" w:rsidRDefault="00476FE7" w:rsidP="00476FE7">
      <w:pPr>
        <w:pStyle w:val="BodyText"/>
        <w:spacing w:line="240" w:lineRule="auto"/>
        <w:ind w:firstLine="1440"/>
      </w:pPr>
      <w:r>
        <w:t>Upon application by Employer, the First Source Hiring Administration may grant an exception to any or all of the requirements of Chapter 83 in any situation where it concludes that compliance with this Chapter would cause economic hardship.</w:t>
      </w:r>
    </w:p>
    <w:p w:rsidR="00476FE7" w:rsidRDefault="00476FE7" w:rsidP="00476FE7">
      <w:pPr>
        <w:pStyle w:val="Level4"/>
        <w:numPr>
          <w:ilvl w:val="3"/>
          <w:numId w:val="12"/>
        </w:numPr>
        <w:tabs>
          <w:tab w:val="clear" w:pos="720"/>
          <w:tab w:val="clear" w:pos="2160"/>
          <w:tab w:val="left" w:pos="1440"/>
        </w:tabs>
        <w:spacing w:line="240" w:lineRule="auto"/>
        <w:ind w:left="0" w:firstLine="720"/>
        <w:rPr>
          <w:szCs w:val="22"/>
        </w:rPr>
      </w:pPr>
      <w:r>
        <w:rPr>
          <w:b/>
          <w:szCs w:val="22"/>
        </w:rPr>
        <w:t xml:space="preserve">Liquidated Damages.  </w:t>
      </w:r>
    </w:p>
    <w:p w:rsidR="00476FE7" w:rsidRDefault="00476FE7" w:rsidP="00476FE7">
      <w:pPr>
        <w:pStyle w:val="BodyText"/>
        <w:spacing w:line="240" w:lineRule="auto"/>
        <w:ind w:firstLine="1440"/>
        <w:rPr>
          <w:szCs w:val="22"/>
        </w:rPr>
      </w:pPr>
      <w:r>
        <w:rPr>
          <w:szCs w:val="22"/>
        </w:rPr>
        <w:t xml:space="preserve">Contractor agrees: </w:t>
      </w:r>
    </w:p>
    <w:p w:rsidR="00476FE7" w:rsidRDefault="00476FE7" w:rsidP="00476FE7">
      <w:pPr>
        <w:pStyle w:val="Level5"/>
        <w:numPr>
          <w:ilvl w:val="4"/>
          <w:numId w:val="12"/>
        </w:numPr>
        <w:tabs>
          <w:tab w:val="clear" w:pos="720"/>
          <w:tab w:val="clear" w:pos="2880"/>
          <w:tab w:val="clear" w:pos="3600"/>
          <w:tab w:val="left" w:pos="2160"/>
        </w:tabs>
        <w:spacing w:line="240" w:lineRule="auto"/>
        <w:ind w:left="0" w:firstLine="1440"/>
        <w:rPr>
          <w:szCs w:val="22"/>
        </w:rPr>
      </w:pPr>
      <w:r>
        <w:rPr>
          <w:szCs w:val="22"/>
        </w:rPr>
        <w:t xml:space="preserve">To be liable to the City for liquidated damages as provided in this section; </w:t>
      </w:r>
    </w:p>
    <w:p w:rsidR="00476FE7" w:rsidRDefault="00476FE7" w:rsidP="00476FE7">
      <w:pPr>
        <w:pStyle w:val="Level5"/>
        <w:numPr>
          <w:ilvl w:val="4"/>
          <w:numId w:val="12"/>
        </w:numPr>
        <w:tabs>
          <w:tab w:val="clear" w:pos="720"/>
          <w:tab w:val="clear" w:pos="2880"/>
          <w:tab w:val="clear" w:pos="3600"/>
          <w:tab w:val="left" w:pos="2160"/>
        </w:tabs>
        <w:spacing w:line="240" w:lineRule="auto"/>
        <w:ind w:left="0" w:firstLine="1440"/>
        <w:rPr>
          <w:szCs w:val="22"/>
        </w:rPr>
      </w:pPr>
      <w:r>
        <w:rPr>
          <w:szCs w:val="22"/>
        </w:rPr>
        <w:t xml:space="preserve">To be subject to the procedures governing enforcement of breaches of contracts based on violations of contract provisions required by this Chapter as set forth in this section; </w:t>
      </w:r>
    </w:p>
    <w:p w:rsidR="00476FE7" w:rsidRDefault="00476FE7" w:rsidP="00476FE7">
      <w:pPr>
        <w:pStyle w:val="Level5"/>
        <w:numPr>
          <w:ilvl w:val="4"/>
          <w:numId w:val="12"/>
        </w:numPr>
        <w:tabs>
          <w:tab w:val="clear" w:pos="720"/>
          <w:tab w:val="clear" w:pos="2880"/>
          <w:tab w:val="clear" w:pos="3600"/>
          <w:tab w:val="left" w:pos="2160"/>
        </w:tabs>
        <w:spacing w:line="240" w:lineRule="auto"/>
        <w:ind w:left="0" w:firstLine="1440"/>
        <w:rPr>
          <w:szCs w:val="22"/>
        </w:rPr>
      </w:pPr>
      <w:r>
        <w:rPr>
          <w:szCs w:val="22"/>
        </w:rPr>
        <w:t xml:space="preserve">That the contractor's commitment to comply with this Chapter is a material element of the City's consideration for this contract; that the failure of the contractor to comply with the contract provisions required by this Chapter will cause harm to the City and the public which is significant and substantial but extremely difficult to quantify; that the harm to the City includes not only the financial cost of funding public assistance programs but also the insidious but impossible to quantify harm that this community and its families suffer as a result </w:t>
      </w:r>
      <w:r>
        <w:rPr>
          <w:szCs w:val="22"/>
        </w:rPr>
        <w:lastRenderedPageBreak/>
        <w:t xml:space="preserve">of unemployment; and that the assessment of liquidated damages of up to $5,000 for every notice of a new hire for an entry level position improperly withheld by the contractor from the first source hiring process, as determined by the FSHA during its first investigation of a contractor, does not exceed a fair estimate of the financial and other damages that the City suffers as a result of the contractor's failure to comply with its first source referral contractual obligations. </w:t>
      </w:r>
    </w:p>
    <w:p w:rsidR="00476FE7" w:rsidRDefault="00476FE7" w:rsidP="00476FE7">
      <w:pPr>
        <w:pStyle w:val="Level5"/>
        <w:numPr>
          <w:ilvl w:val="4"/>
          <w:numId w:val="12"/>
        </w:numPr>
        <w:tabs>
          <w:tab w:val="clear" w:pos="720"/>
          <w:tab w:val="clear" w:pos="2880"/>
          <w:tab w:val="clear" w:pos="3600"/>
          <w:tab w:val="left" w:pos="2160"/>
        </w:tabs>
        <w:spacing w:line="240" w:lineRule="auto"/>
        <w:ind w:left="0" w:firstLine="1440"/>
        <w:rPr>
          <w:szCs w:val="22"/>
        </w:rPr>
      </w:pPr>
      <w:r>
        <w:rPr>
          <w:szCs w:val="22"/>
        </w:rPr>
        <w:t xml:space="preserve">That the continued failure by a contractor to comply with its first source referral contractual obligations will cause further significant and substantial harm to the City and the public, and that a second assessment of liquidated damages of up to $10,000 for each entry level position improperly withheld from the FSHA, from the time of the conclusion of the first investigation forward, does not exceed the financial and other damages that the City suffers as a result of the contractor's continued failure to comply with its first source referral contractual obligations; </w:t>
      </w:r>
    </w:p>
    <w:p w:rsidR="00476FE7" w:rsidRDefault="00476FE7" w:rsidP="00476FE7">
      <w:pPr>
        <w:pStyle w:val="Level5"/>
        <w:numPr>
          <w:ilvl w:val="4"/>
          <w:numId w:val="12"/>
        </w:numPr>
        <w:tabs>
          <w:tab w:val="clear" w:pos="720"/>
          <w:tab w:val="clear" w:pos="2880"/>
          <w:tab w:val="clear" w:pos="3600"/>
          <w:tab w:val="left" w:pos="2160"/>
        </w:tabs>
        <w:spacing w:line="240" w:lineRule="auto"/>
        <w:ind w:left="0" w:firstLine="1440"/>
        <w:rPr>
          <w:szCs w:val="22"/>
        </w:rPr>
      </w:pPr>
      <w:r>
        <w:rPr>
          <w:szCs w:val="22"/>
        </w:rPr>
        <w:t xml:space="preserve">That in addition to the cost of investigating alleged violations under this Section, the computation of liquidated damages for purposes of this section is based on the following data: </w:t>
      </w:r>
    </w:p>
    <w:p w:rsidR="00476FE7" w:rsidRDefault="00476FE7" w:rsidP="00476FE7">
      <w:pPr>
        <w:pStyle w:val="Level6"/>
        <w:numPr>
          <w:ilvl w:val="5"/>
          <w:numId w:val="12"/>
        </w:numPr>
        <w:tabs>
          <w:tab w:val="clear" w:pos="3600"/>
          <w:tab w:val="left" w:pos="2880"/>
        </w:tabs>
        <w:spacing w:line="240" w:lineRule="auto"/>
        <w:ind w:left="0" w:firstLine="2160"/>
      </w:pPr>
      <w:r>
        <w:t xml:space="preserve">The average length of stay on public assistance in San Francisco's County Adult Assistance Program is approximately 41 months at an average monthly grant of $348 per month, totaling approximately $14,379; and </w:t>
      </w:r>
    </w:p>
    <w:p w:rsidR="00476FE7" w:rsidRDefault="00476FE7" w:rsidP="00476FE7">
      <w:pPr>
        <w:pStyle w:val="Level6"/>
        <w:numPr>
          <w:ilvl w:val="5"/>
          <w:numId w:val="12"/>
        </w:numPr>
        <w:tabs>
          <w:tab w:val="clear" w:pos="3600"/>
          <w:tab w:val="left" w:pos="2880"/>
        </w:tabs>
        <w:spacing w:line="240" w:lineRule="auto"/>
        <w:ind w:left="0" w:firstLine="2160"/>
        <w:rPr>
          <w:szCs w:val="22"/>
        </w:rPr>
      </w:pPr>
      <w:r>
        <w:rPr>
          <w:szCs w:val="22"/>
        </w:rPr>
        <w:t xml:space="preserve">In 2004, the retention rate of adults placed in employment programs funded under the Workforce Investment Act for at least the first six months of employment was 84.4%. Since qualified individuals under the First Source program face far fewer barriers to employment than their counterparts in programs funded by the Workforce Investment Act, it is reasonable to conclude that the average length of employment for an individual whom the First Source Program refers to an employer and who is hired in an entry level position is at least one year; </w:t>
      </w:r>
    </w:p>
    <w:p w:rsidR="00476FE7" w:rsidRDefault="00476FE7" w:rsidP="00476FE7">
      <w:pPr>
        <w:spacing w:line="240" w:lineRule="auto"/>
        <w:ind w:firstLine="2160"/>
        <w:rPr>
          <w:szCs w:val="22"/>
        </w:rPr>
      </w:pPr>
      <w:r>
        <w:rPr>
          <w:szCs w:val="22"/>
        </w:rPr>
        <w:t xml:space="preserve">Therefore, liquidated damages that total $5,000 for first violations and $10,000 for subsequent violations as determined by FSHA constitute a fair, reasonable, and conservative attempt to quantify the harm caused to the City by the failure of a contractor to comply with its first source referral contractual obligations. </w:t>
      </w:r>
    </w:p>
    <w:p w:rsidR="00476FE7" w:rsidRDefault="00476FE7" w:rsidP="00476FE7">
      <w:pPr>
        <w:pStyle w:val="Level5"/>
        <w:numPr>
          <w:ilvl w:val="4"/>
          <w:numId w:val="12"/>
        </w:numPr>
        <w:tabs>
          <w:tab w:val="clear" w:pos="720"/>
          <w:tab w:val="clear" w:pos="2880"/>
          <w:tab w:val="clear" w:pos="3600"/>
          <w:tab w:val="left" w:pos="2160"/>
        </w:tabs>
        <w:spacing w:line="240" w:lineRule="auto"/>
        <w:ind w:left="0" w:firstLine="1440"/>
        <w:rPr>
          <w:szCs w:val="22"/>
        </w:rPr>
      </w:pPr>
      <w:r>
        <w:rPr>
          <w:szCs w:val="22"/>
        </w:rPr>
        <w:t xml:space="preserve">That the failure of contractors to comply with this Chapter, except property contractors, may be subject to the debarment and monetary penalties set forth in Sections 6.80 et seq. of the San Francisco Administrative Code, as well as any other remedies available under the contract or at law; and </w:t>
      </w:r>
    </w:p>
    <w:p w:rsidR="00476FE7" w:rsidRDefault="00476FE7" w:rsidP="00476FE7">
      <w:pPr>
        <w:tabs>
          <w:tab w:val="left" w:pos="1440"/>
        </w:tabs>
        <w:spacing w:line="240" w:lineRule="auto"/>
        <w:rPr>
          <w:szCs w:val="22"/>
        </w:rPr>
      </w:pPr>
      <w:r>
        <w:rPr>
          <w:szCs w:val="22"/>
        </w:rPr>
        <w:tab/>
        <w:t>Violation of the requirements of Chapter 83 is subject to an assessment of liquidated damages in the amount of $5,000 for every new hire for an Entry Level Position improperly withheld from the first source hiring process.  The assessment of liquidated damages and the evaluation of any defenses or mitigating factors shall be made by the FSHA.</w:t>
      </w:r>
    </w:p>
    <w:p w:rsidR="00476FE7" w:rsidRDefault="00476FE7" w:rsidP="00476FE7">
      <w:pPr>
        <w:pStyle w:val="Level4"/>
        <w:numPr>
          <w:ilvl w:val="3"/>
          <w:numId w:val="12"/>
        </w:numPr>
        <w:tabs>
          <w:tab w:val="clear" w:pos="720"/>
          <w:tab w:val="clear" w:pos="2160"/>
          <w:tab w:val="left" w:pos="1440"/>
        </w:tabs>
        <w:spacing w:line="240" w:lineRule="auto"/>
        <w:ind w:left="0" w:firstLine="720"/>
        <w:rPr>
          <w:szCs w:val="22"/>
        </w:rPr>
      </w:pPr>
      <w:r>
        <w:rPr>
          <w:b/>
          <w:szCs w:val="22"/>
        </w:rPr>
        <w:t xml:space="preserve">Subcontracts. </w:t>
      </w:r>
      <w:r>
        <w:rPr>
          <w:szCs w:val="22"/>
        </w:rPr>
        <w:t xml:space="preserve"> </w:t>
      </w:r>
    </w:p>
    <w:p w:rsidR="00476FE7" w:rsidRDefault="00476FE7" w:rsidP="00476FE7">
      <w:pPr>
        <w:pStyle w:val="BodyText"/>
        <w:spacing w:line="240" w:lineRule="auto"/>
        <w:ind w:firstLine="1440"/>
      </w:pPr>
      <w:r>
        <w:t>Any subcontract entered into by Contractor shall require the subcontractor to comply with the requirements of Chapter 83 and shall contain contractual obligations substantially the same as those set forth in this Section.</w:t>
      </w:r>
    </w:p>
    <w:p w:rsidR="00FF14C5" w:rsidRPr="00C40939" w:rsidRDefault="00FF14C5" w:rsidP="00C40939">
      <w:pPr>
        <w:pStyle w:val="Level3"/>
        <w:tabs>
          <w:tab w:val="left" w:pos="720"/>
        </w:tabs>
        <w:spacing w:line="240" w:lineRule="auto"/>
        <w:ind w:left="0" w:firstLine="0"/>
        <w:rPr>
          <w:szCs w:val="24"/>
        </w:rPr>
      </w:pPr>
      <w:r w:rsidRPr="00C40939">
        <w:rPr>
          <w:b/>
          <w:szCs w:val="24"/>
        </w:rPr>
        <w:lastRenderedPageBreak/>
        <w:t xml:space="preserve">Prohibition on Political Activity with City Funds.  </w:t>
      </w:r>
      <w:r w:rsidRPr="001A0E02">
        <w:rPr>
          <w:szCs w:val="24"/>
        </w:rPr>
        <w:t>In accordance with San Francisco</w:t>
      </w:r>
      <w:r w:rsidRPr="00C40939">
        <w:rPr>
          <w:szCs w:val="24"/>
        </w:rPr>
        <w:t xml:space="preserve"> Administrative Code Chapter 12.G, Contractor may not participate in, support, or attempt to influence any political campaign for a candidate or for a ballot measure (collectively, “Political Activity”) in the performance of the services provided under this Agreement.  Contractor agrees to comply with San Francisco Administrative Code Chapter 12.G and any implementing rules and regulations promulgated by the City’s Controller.  The terms and provisions of Chapter 12.G are incorporated herein by this reference.  In the event Contractor violates the provisions of this section, the City may, in addition to any other rights or remedies available hereunder, (i) terminate this Agreement, and (ii) prohibit Contractor from bidding on or receiving any </w:t>
      </w:r>
      <w:smartTag w:uri="urn:schemas-microsoft-com:office:smarttags" w:element="City">
        <w:smartTag w:uri="urn:schemas-microsoft-com:office:smarttags" w:element="place">
          <w:r w:rsidRPr="00C40939">
            <w:rPr>
              <w:szCs w:val="24"/>
            </w:rPr>
            <w:t>new City</w:t>
          </w:r>
        </w:smartTag>
      </w:smartTag>
      <w:r w:rsidRPr="00C40939">
        <w:rPr>
          <w:szCs w:val="24"/>
        </w:rPr>
        <w:t xml:space="preserve"> contract for a period of two (2) years.  The Controller will not consider Contractor’s use of profit as a violation of this section.  </w:t>
      </w:r>
    </w:p>
    <w:p w:rsidR="00FF14C5" w:rsidRPr="00C40939" w:rsidRDefault="00FF14C5" w:rsidP="00C40939">
      <w:pPr>
        <w:pStyle w:val="Level3"/>
        <w:tabs>
          <w:tab w:val="left" w:pos="720"/>
        </w:tabs>
        <w:spacing w:line="240" w:lineRule="auto"/>
        <w:ind w:left="0" w:firstLine="0"/>
        <w:rPr>
          <w:szCs w:val="24"/>
        </w:rPr>
      </w:pPr>
      <w:r w:rsidRPr="00C40939">
        <w:rPr>
          <w:b/>
          <w:szCs w:val="24"/>
        </w:rPr>
        <w:t>Preservative-treated Wood Containing Arsenic.</w:t>
      </w:r>
      <w:r w:rsidRPr="00C40939">
        <w:rPr>
          <w:szCs w:val="24"/>
        </w:rPr>
        <w:t xml:space="preserve">  Contractor may not purchase preservative-treated wood products containing arsenic in the performance of this Agreement unless an exemption from the requirements of Chapter 13 of the San Francisco Environment Code is obtained from the Department of the Environment under Section 1304 of the Code.  The term “preservative-treated wood containing arsenic” shall mean wood treated with a preservative that contains arsenic, elemental arsenic, or an arsenic copper combination, including, but not limited to, chromated copper arsenate preservative, ammoniacal copper zinc arsenate preservative, or ammoniacal copper arsenate preservative.  Contractor may purchase preservative-treated wood products on the list of environmentally preferable alternatives prepared and adopted by the Department of the Environment.  This provision does not preclude Contractor from purchasing preservative-treated wood containing arsenic for saltwater immersion.  The term “saltwater immersion” shall mean a pressure-treated wood that is used for construction purposes or facilities that are partially or totally immersed in saltwater.</w:t>
      </w:r>
    </w:p>
    <w:p w:rsidR="00FF14C5" w:rsidRPr="00C40939" w:rsidRDefault="00FF14C5" w:rsidP="00C40939">
      <w:pPr>
        <w:pStyle w:val="Level3"/>
        <w:tabs>
          <w:tab w:val="left" w:pos="720"/>
        </w:tabs>
        <w:spacing w:line="240" w:lineRule="auto"/>
        <w:ind w:left="0" w:firstLine="0"/>
        <w:rPr>
          <w:szCs w:val="24"/>
        </w:rPr>
      </w:pPr>
      <w:r w:rsidRPr="00C40939">
        <w:rPr>
          <w:b/>
          <w:szCs w:val="24"/>
        </w:rPr>
        <w:t>Conflict of Interest</w:t>
      </w:r>
      <w:r w:rsidRPr="00C40939">
        <w:rPr>
          <w:szCs w:val="24"/>
        </w:rPr>
        <w:t>.  Through its execution of this Agreement, Contractor acknowledges that it is familiar with the provision of Section 15.103 of the City's Charter, Article III, Chapter 2 of the City's Campaign and Governmental Conduct Code, and Section 87100 et seq. and Section 1090 et seq. of the Government Code of the State of California, and certifies that it does not know of any facts which constitutes a violation of said provisions and agrees that it will immediately notify the City if it becomes aware of any such fact during the term of this Agreement.</w:t>
      </w:r>
    </w:p>
    <w:p w:rsidR="00FF14C5" w:rsidRPr="00C40939" w:rsidRDefault="00FF14C5" w:rsidP="00C40939">
      <w:pPr>
        <w:pStyle w:val="Level3"/>
        <w:tabs>
          <w:tab w:val="left" w:pos="720"/>
        </w:tabs>
        <w:spacing w:line="240" w:lineRule="auto"/>
        <w:ind w:left="0" w:firstLine="0"/>
        <w:rPr>
          <w:szCs w:val="24"/>
        </w:rPr>
      </w:pPr>
      <w:r w:rsidRPr="00C40939">
        <w:rPr>
          <w:b/>
          <w:szCs w:val="24"/>
        </w:rPr>
        <w:t>Protection of Private Information.</w:t>
      </w:r>
      <w:r w:rsidRPr="00C40939">
        <w:rPr>
          <w:szCs w:val="24"/>
        </w:rPr>
        <w:t xml:space="preserve">  Contractor has read and agrees to the terms set forth in San Francisco Administrative Code Sections 12M.2, “Nondisclosure of Private Information,” and 12M.3, “Enforcement” of Administrative Code Chapter 12M, “Protection of Private Information,” which are incorporated herein as if fully set forth.  Contractor agrees that any failure of Contractor to comply with the requirements of Section 12M.2 of this Chapter shall be a material breach of the Contract.  In such an event, in addition to any other remedies available to it under equity or law, the City may terminate the Contract, bring a false claim action against the Contractor pursuant to Chapter 6 or Chapter 21 of the Administrative Code, or debar the Contractor.</w:t>
      </w:r>
    </w:p>
    <w:p w:rsidR="00FF14C5" w:rsidRPr="007B52E3" w:rsidRDefault="00FF14C5" w:rsidP="00C40939">
      <w:pPr>
        <w:pStyle w:val="Level3"/>
        <w:tabs>
          <w:tab w:val="left" w:pos="720"/>
        </w:tabs>
        <w:spacing w:line="240" w:lineRule="auto"/>
        <w:ind w:left="0" w:firstLine="0"/>
        <w:rPr>
          <w:szCs w:val="24"/>
        </w:rPr>
      </w:pPr>
      <w:r w:rsidRPr="007B52E3">
        <w:rPr>
          <w:b/>
          <w:szCs w:val="24"/>
        </w:rPr>
        <w:t xml:space="preserve">Graffiti Removal.  </w:t>
      </w:r>
      <w:r w:rsidR="007B52E3" w:rsidRPr="007B52E3">
        <w:rPr>
          <w:b/>
          <w:szCs w:val="24"/>
        </w:rPr>
        <w:t>Reserved.</w:t>
      </w:r>
    </w:p>
    <w:p w:rsidR="00FF14C5" w:rsidRPr="00C40939" w:rsidRDefault="00FF14C5" w:rsidP="00C40939">
      <w:pPr>
        <w:pStyle w:val="Level3"/>
        <w:tabs>
          <w:tab w:val="left" w:pos="720"/>
        </w:tabs>
        <w:spacing w:line="240" w:lineRule="auto"/>
        <w:ind w:left="0" w:firstLine="0"/>
        <w:rPr>
          <w:szCs w:val="24"/>
        </w:rPr>
      </w:pPr>
      <w:r w:rsidRPr="00C40939">
        <w:rPr>
          <w:b/>
          <w:szCs w:val="24"/>
        </w:rPr>
        <w:t>Food Service Waste Reduction Requirements.</w:t>
      </w:r>
      <w:r w:rsidRPr="00C40939">
        <w:rPr>
          <w:szCs w:val="24"/>
        </w:rPr>
        <w:t xml:space="preserve">  Contractor agrees to comply fully with and be bound by all of the provisions of the Food Service Waste Reduction Ordinance, as set forth in San Francisco Environment Code Chapter 16, including the remedies provided, and </w:t>
      </w:r>
      <w:r w:rsidRPr="00C40939">
        <w:rPr>
          <w:szCs w:val="24"/>
        </w:rPr>
        <w:lastRenderedPageBreak/>
        <w:t>implementing guidelines and rules.  The provisions of Chapter 16 are incorporated herein by reference and made a part of this Agreement as though fully set forth.  This provision is a material term of this Agreement.  By entering into this Agreement, Contractor agrees that if it breaches this provision, City will suffer actual damages that will be impractical or extremely difficult to determine; further, Contractor agrees that the sum of $100 liquidated damages for the first breach, $200 liquidated damages for the second breach in the same year, and $500 liquidated damages for subsequent breaches in the same year is reasonable estimate of the damage that City will incur based on the violation, established in light of the circumstances existing at the time this Agreement was made.  Such amount shall not be considered a penalty, but rather agreed monetary damages sustained by City because of Contractor’s failure to comply with this provision.</w:t>
      </w:r>
    </w:p>
    <w:p w:rsidR="00421EEF" w:rsidRPr="00C40939" w:rsidRDefault="00FF14C5" w:rsidP="00C40939">
      <w:pPr>
        <w:pStyle w:val="Level3"/>
        <w:tabs>
          <w:tab w:val="left" w:pos="720"/>
        </w:tabs>
        <w:spacing w:line="240" w:lineRule="auto"/>
        <w:ind w:left="0" w:firstLine="0"/>
        <w:rPr>
          <w:szCs w:val="24"/>
        </w:rPr>
      </w:pPr>
      <w:r w:rsidRPr="00C40939">
        <w:rPr>
          <w:b/>
          <w:szCs w:val="24"/>
        </w:rPr>
        <w:t>Cooperative Drafting.</w:t>
      </w:r>
      <w:r w:rsidRPr="00C40939">
        <w:rPr>
          <w:szCs w:val="24"/>
        </w:rPr>
        <w:t xml:space="preserve">  This Agreement has been drafted through a cooperative effort of both parties, and both parties have had an opportunity to have the Agreement reviewed and revised by legal counsel.  No party shall be considered the drafter of this Agreement, and no presumption or rule that an ambiguity shall be construed against the party drafting the clause shall apply to the interpretation or enforcement of this Agreement.</w:t>
      </w:r>
    </w:p>
    <w:p w:rsidR="00421EEF" w:rsidRPr="00C40939" w:rsidRDefault="009C18F1" w:rsidP="00C40939">
      <w:pPr>
        <w:spacing w:line="240" w:lineRule="auto"/>
        <w:rPr>
          <w:szCs w:val="24"/>
        </w:rPr>
      </w:pPr>
      <w:r w:rsidRPr="00C40939">
        <w:rPr>
          <w:szCs w:val="24"/>
        </w:rPr>
        <w:br w:type="page"/>
      </w:r>
      <w:r w:rsidR="00421EEF" w:rsidRPr="00C40939">
        <w:rPr>
          <w:szCs w:val="24"/>
        </w:rPr>
        <w:lastRenderedPageBreak/>
        <w:t>IN WITNESS WHEREOF, the parties hereto have executed this Agreement on the day first mentioned above.</w:t>
      </w:r>
    </w:p>
    <w:p w:rsidR="00421EEF" w:rsidRPr="00C40939" w:rsidRDefault="00421EEF" w:rsidP="00C40939">
      <w:pPr>
        <w:spacing w:line="240" w:lineRule="auto"/>
        <w:rPr>
          <w:szCs w:val="24"/>
        </w:rPr>
      </w:pPr>
    </w:p>
    <w:tbl>
      <w:tblPr>
        <w:tblW w:w="0" w:type="auto"/>
        <w:tblLook w:val="04A0" w:firstRow="1" w:lastRow="0" w:firstColumn="1" w:lastColumn="0" w:noHBand="0" w:noVBand="1"/>
      </w:tblPr>
      <w:tblGrid>
        <w:gridCol w:w="4788"/>
        <w:gridCol w:w="4788"/>
      </w:tblGrid>
      <w:tr w:rsidR="005D6EAF" w:rsidRPr="00C40939" w:rsidTr="00FA6C4D">
        <w:tc>
          <w:tcPr>
            <w:tcW w:w="4788" w:type="dxa"/>
            <w:shd w:val="clear" w:color="auto" w:fill="auto"/>
          </w:tcPr>
          <w:p w:rsidR="005D6EAF" w:rsidRPr="00C40939" w:rsidRDefault="005D6EAF" w:rsidP="00C40939">
            <w:pPr>
              <w:spacing w:line="240" w:lineRule="auto"/>
              <w:rPr>
                <w:szCs w:val="24"/>
              </w:rPr>
            </w:pPr>
            <w:r w:rsidRPr="00C40939">
              <w:rPr>
                <w:szCs w:val="24"/>
              </w:rPr>
              <w:t>CITY</w:t>
            </w:r>
          </w:p>
          <w:p w:rsidR="005D6EAF" w:rsidRPr="00C40939" w:rsidRDefault="005D6EAF" w:rsidP="00C40939">
            <w:pPr>
              <w:spacing w:line="240" w:lineRule="auto"/>
              <w:rPr>
                <w:szCs w:val="24"/>
              </w:rPr>
            </w:pPr>
          </w:p>
          <w:p w:rsidR="005D6EAF" w:rsidRPr="00C40939" w:rsidRDefault="005D6EAF" w:rsidP="00C40939">
            <w:pPr>
              <w:spacing w:line="240" w:lineRule="auto"/>
              <w:rPr>
                <w:szCs w:val="24"/>
              </w:rPr>
            </w:pPr>
            <w:r w:rsidRPr="00C40939">
              <w:rPr>
                <w:szCs w:val="24"/>
              </w:rPr>
              <w:t>Recommended by:</w:t>
            </w:r>
          </w:p>
          <w:p w:rsidR="005D6EAF" w:rsidRPr="00C40939" w:rsidRDefault="005D6EAF" w:rsidP="00C40939">
            <w:pPr>
              <w:spacing w:line="240" w:lineRule="auto"/>
              <w:rPr>
                <w:szCs w:val="24"/>
              </w:rPr>
            </w:pPr>
          </w:p>
          <w:p w:rsidR="005D6EAF" w:rsidRPr="00C40939" w:rsidRDefault="005D6EAF" w:rsidP="00C40939">
            <w:pPr>
              <w:spacing w:line="240" w:lineRule="auto"/>
              <w:rPr>
                <w:szCs w:val="24"/>
              </w:rPr>
            </w:pPr>
          </w:p>
          <w:p w:rsidR="005D6EAF" w:rsidRPr="00C40939" w:rsidRDefault="005D6EAF" w:rsidP="00C40939">
            <w:pPr>
              <w:spacing w:line="240" w:lineRule="auto"/>
              <w:rPr>
                <w:szCs w:val="24"/>
              </w:rPr>
            </w:pPr>
          </w:p>
          <w:p w:rsidR="005D6EAF" w:rsidRPr="00C40939" w:rsidRDefault="005D6EAF" w:rsidP="00C40939">
            <w:pPr>
              <w:spacing w:line="240" w:lineRule="auto"/>
              <w:rPr>
                <w:szCs w:val="24"/>
              </w:rPr>
            </w:pPr>
            <w:r w:rsidRPr="00C40939">
              <w:rPr>
                <w:szCs w:val="24"/>
              </w:rPr>
              <w:t>___________________________________</w:t>
            </w:r>
          </w:p>
          <w:p w:rsidR="005D6EAF" w:rsidRPr="00C40939" w:rsidRDefault="005D6EAF" w:rsidP="00C40939">
            <w:pPr>
              <w:spacing w:line="240" w:lineRule="auto"/>
              <w:rPr>
                <w:b/>
                <w:color w:val="008000"/>
                <w:szCs w:val="24"/>
              </w:rPr>
            </w:pPr>
            <w:r w:rsidRPr="00C40939">
              <w:rPr>
                <w:b/>
                <w:color w:val="008000"/>
                <w:szCs w:val="24"/>
              </w:rPr>
              <w:t>[name]</w:t>
            </w:r>
          </w:p>
          <w:p w:rsidR="005D6EAF" w:rsidRPr="00C40939" w:rsidRDefault="005D6EAF" w:rsidP="00C40939">
            <w:pPr>
              <w:spacing w:line="240" w:lineRule="auto"/>
              <w:rPr>
                <w:b/>
                <w:color w:val="008000"/>
                <w:szCs w:val="24"/>
              </w:rPr>
            </w:pPr>
            <w:r w:rsidRPr="00C40939">
              <w:rPr>
                <w:b/>
                <w:color w:val="008000"/>
                <w:szCs w:val="24"/>
              </w:rPr>
              <w:t>[title]</w:t>
            </w:r>
          </w:p>
          <w:p w:rsidR="005D6EAF" w:rsidRPr="00C40939" w:rsidRDefault="005D6EAF" w:rsidP="00C40939">
            <w:pPr>
              <w:spacing w:line="240" w:lineRule="auto"/>
              <w:rPr>
                <w:b/>
                <w:color w:val="00B050"/>
                <w:szCs w:val="24"/>
              </w:rPr>
            </w:pPr>
            <w:r w:rsidRPr="00C40939">
              <w:rPr>
                <w:b/>
                <w:color w:val="008000"/>
                <w:szCs w:val="24"/>
              </w:rPr>
              <w:t>[department]</w:t>
            </w:r>
          </w:p>
          <w:p w:rsidR="005D6EAF" w:rsidRPr="00C40939" w:rsidRDefault="005D6EAF" w:rsidP="00C40939">
            <w:pPr>
              <w:spacing w:line="240" w:lineRule="auto"/>
              <w:rPr>
                <w:szCs w:val="24"/>
              </w:rPr>
            </w:pPr>
          </w:p>
          <w:p w:rsidR="005D6EAF" w:rsidRPr="00C40939" w:rsidRDefault="005D6EAF" w:rsidP="00C40939">
            <w:pPr>
              <w:spacing w:line="240" w:lineRule="auto"/>
              <w:rPr>
                <w:szCs w:val="24"/>
              </w:rPr>
            </w:pPr>
          </w:p>
          <w:p w:rsidR="005D6EAF" w:rsidRPr="00C40939" w:rsidRDefault="005D6EAF" w:rsidP="00C40939">
            <w:pPr>
              <w:spacing w:line="240" w:lineRule="auto"/>
              <w:rPr>
                <w:szCs w:val="24"/>
              </w:rPr>
            </w:pPr>
          </w:p>
          <w:p w:rsidR="005D6EAF" w:rsidRPr="00C40939" w:rsidRDefault="005D6EAF" w:rsidP="00C40939">
            <w:pPr>
              <w:spacing w:line="240" w:lineRule="auto"/>
              <w:rPr>
                <w:szCs w:val="24"/>
              </w:rPr>
            </w:pPr>
            <w:r w:rsidRPr="00C40939">
              <w:rPr>
                <w:szCs w:val="24"/>
              </w:rPr>
              <w:t>Approved as to Form:</w:t>
            </w:r>
          </w:p>
          <w:p w:rsidR="005D6EAF" w:rsidRPr="00C40939" w:rsidRDefault="005D6EAF" w:rsidP="00C40939">
            <w:pPr>
              <w:pStyle w:val="Level2"/>
              <w:tabs>
                <w:tab w:val="clear" w:pos="1440"/>
                <w:tab w:val="clear" w:pos="2160"/>
                <w:tab w:val="clear" w:pos="2880"/>
                <w:tab w:val="clear" w:pos="3600"/>
              </w:tabs>
              <w:spacing w:before="0" w:after="0" w:line="240" w:lineRule="auto"/>
              <w:ind w:left="720" w:hanging="720"/>
              <w:jc w:val="left"/>
              <w:rPr>
                <w:szCs w:val="24"/>
              </w:rPr>
            </w:pPr>
          </w:p>
          <w:p w:rsidR="005D6EAF" w:rsidRPr="00C40939" w:rsidRDefault="005D6EAF" w:rsidP="00C40939">
            <w:pPr>
              <w:spacing w:line="240" w:lineRule="auto"/>
              <w:rPr>
                <w:szCs w:val="24"/>
              </w:rPr>
            </w:pPr>
            <w:r w:rsidRPr="00C40939">
              <w:rPr>
                <w:szCs w:val="24"/>
              </w:rPr>
              <w:t>Dennis J. Herrera</w:t>
            </w:r>
          </w:p>
          <w:p w:rsidR="005D6EAF" w:rsidRPr="00C40939" w:rsidRDefault="005D6EAF" w:rsidP="00C40939">
            <w:pPr>
              <w:spacing w:line="240" w:lineRule="auto"/>
              <w:rPr>
                <w:szCs w:val="24"/>
              </w:rPr>
            </w:pPr>
            <w:r w:rsidRPr="00C40939">
              <w:rPr>
                <w:szCs w:val="24"/>
              </w:rPr>
              <w:t>City Attorney</w:t>
            </w:r>
          </w:p>
          <w:p w:rsidR="005D6EAF" w:rsidRPr="00C40939" w:rsidRDefault="005D6EAF" w:rsidP="00C40939">
            <w:pPr>
              <w:spacing w:line="240" w:lineRule="auto"/>
              <w:rPr>
                <w:szCs w:val="24"/>
              </w:rPr>
            </w:pPr>
          </w:p>
          <w:p w:rsidR="005D6EAF" w:rsidRPr="00C40939" w:rsidRDefault="005D6EAF" w:rsidP="00C40939">
            <w:pPr>
              <w:spacing w:line="240" w:lineRule="auto"/>
              <w:rPr>
                <w:szCs w:val="24"/>
              </w:rPr>
            </w:pPr>
          </w:p>
          <w:p w:rsidR="005D6EAF" w:rsidRPr="00C40939" w:rsidRDefault="005D6EAF" w:rsidP="00C40939">
            <w:pPr>
              <w:spacing w:line="240" w:lineRule="auto"/>
              <w:rPr>
                <w:szCs w:val="24"/>
              </w:rPr>
            </w:pPr>
          </w:p>
          <w:p w:rsidR="005D6EAF" w:rsidRPr="00C40939" w:rsidRDefault="005D6EAF" w:rsidP="00C40939">
            <w:pPr>
              <w:spacing w:line="240" w:lineRule="auto"/>
              <w:rPr>
                <w:szCs w:val="24"/>
              </w:rPr>
            </w:pPr>
            <w:r w:rsidRPr="00C40939">
              <w:rPr>
                <w:szCs w:val="24"/>
              </w:rPr>
              <w:t>By:     ________________________________</w:t>
            </w:r>
          </w:p>
          <w:p w:rsidR="005F13BF" w:rsidRPr="00C40939" w:rsidRDefault="005F13BF" w:rsidP="00C40939">
            <w:pPr>
              <w:spacing w:line="240" w:lineRule="auto"/>
              <w:rPr>
                <w:b/>
                <w:color w:val="008000"/>
                <w:szCs w:val="24"/>
              </w:rPr>
            </w:pPr>
            <w:r w:rsidRPr="00C40939">
              <w:rPr>
                <w:szCs w:val="24"/>
              </w:rPr>
              <w:tab/>
            </w:r>
            <w:r w:rsidRPr="00C40939">
              <w:rPr>
                <w:b/>
                <w:color w:val="008000"/>
                <w:szCs w:val="24"/>
              </w:rPr>
              <w:t>[insert name of Deputy City Attorney]</w:t>
            </w:r>
            <w:r w:rsidR="005D6EAF" w:rsidRPr="00C40939">
              <w:rPr>
                <w:b/>
                <w:color w:val="008000"/>
                <w:szCs w:val="24"/>
              </w:rPr>
              <w:tab/>
            </w:r>
          </w:p>
          <w:p w:rsidR="005D6EAF" w:rsidRPr="00C40939" w:rsidRDefault="005F13BF" w:rsidP="00C40939">
            <w:pPr>
              <w:spacing w:line="240" w:lineRule="auto"/>
              <w:rPr>
                <w:szCs w:val="24"/>
              </w:rPr>
            </w:pPr>
            <w:r w:rsidRPr="00C40939">
              <w:rPr>
                <w:szCs w:val="24"/>
              </w:rPr>
              <w:tab/>
            </w:r>
            <w:r w:rsidR="005D6EAF" w:rsidRPr="00C40939">
              <w:rPr>
                <w:szCs w:val="24"/>
              </w:rPr>
              <w:t>Deputy City Attorney</w:t>
            </w:r>
          </w:p>
          <w:p w:rsidR="005D6EAF" w:rsidRPr="00C40939" w:rsidRDefault="005D6EAF" w:rsidP="00C40939">
            <w:pPr>
              <w:spacing w:line="240" w:lineRule="auto"/>
              <w:rPr>
                <w:szCs w:val="24"/>
              </w:rPr>
            </w:pPr>
          </w:p>
          <w:p w:rsidR="005D6EAF" w:rsidRPr="00C40939" w:rsidRDefault="005D6EAF" w:rsidP="00C40939">
            <w:pPr>
              <w:spacing w:line="240" w:lineRule="auto"/>
              <w:rPr>
                <w:szCs w:val="24"/>
              </w:rPr>
            </w:pPr>
          </w:p>
          <w:p w:rsidR="005D6EAF" w:rsidRPr="00C40939" w:rsidRDefault="005D6EAF" w:rsidP="00C40939">
            <w:pPr>
              <w:spacing w:line="240" w:lineRule="auto"/>
              <w:rPr>
                <w:szCs w:val="24"/>
              </w:rPr>
            </w:pPr>
            <w:r w:rsidRPr="00C40939">
              <w:rPr>
                <w:szCs w:val="24"/>
              </w:rPr>
              <w:t>Approved:</w:t>
            </w:r>
          </w:p>
          <w:p w:rsidR="005D6EAF" w:rsidRPr="00C40939" w:rsidRDefault="005D6EAF" w:rsidP="00C40939">
            <w:pPr>
              <w:spacing w:line="240" w:lineRule="auto"/>
              <w:rPr>
                <w:szCs w:val="24"/>
              </w:rPr>
            </w:pPr>
          </w:p>
          <w:p w:rsidR="005D6EAF" w:rsidRPr="00C40939" w:rsidRDefault="005D6EAF" w:rsidP="00C40939">
            <w:pPr>
              <w:spacing w:line="240" w:lineRule="auto"/>
              <w:rPr>
                <w:szCs w:val="24"/>
              </w:rPr>
            </w:pPr>
          </w:p>
          <w:p w:rsidR="005D6EAF" w:rsidRPr="00C40939" w:rsidRDefault="005D6EAF" w:rsidP="00C40939">
            <w:pPr>
              <w:spacing w:line="240" w:lineRule="auto"/>
              <w:rPr>
                <w:szCs w:val="24"/>
              </w:rPr>
            </w:pPr>
          </w:p>
          <w:p w:rsidR="005D6EAF" w:rsidRPr="00C40939" w:rsidRDefault="005D6EAF" w:rsidP="00C40939">
            <w:pPr>
              <w:spacing w:line="240" w:lineRule="auto"/>
              <w:rPr>
                <w:szCs w:val="24"/>
              </w:rPr>
            </w:pPr>
            <w:r w:rsidRPr="00C40939">
              <w:rPr>
                <w:szCs w:val="24"/>
              </w:rPr>
              <w:t>_____________________________________</w:t>
            </w:r>
          </w:p>
          <w:p w:rsidR="005D6EAF" w:rsidRPr="00C40939" w:rsidRDefault="00651E3B" w:rsidP="00C40939">
            <w:pPr>
              <w:spacing w:line="240" w:lineRule="auto"/>
              <w:rPr>
                <w:szCs w:val="24"/>
              </w:rPr>
            </w:pPr>
            <w:r>
              <w:rPr>
                <w:szCs w:val="24"/>
              </w:rPr>
              <w:t>Jaci Fong</w:t>
            </w:r>
          </w:p>
          <w:p w:rsidR="005D6EAF" w:rsidRPr="00C40939" w:rsidRDefault="005D6EAF" w:rsidP="00C40939">
            <w:pPr>
              <w:spacing w:line="240" w:lineRule="auto"/>
              <w:rPr>
                <w:szCs w:val="24"/>
              </w:rPr>
            </w:pPr>
            <w:r w:rsidRPr="00C40939">
              <w:rPr>
                <w:szCs w:val="24"/>
              </w:rPr>
              <w:t xml:space="preserve">Director of the Office of Contract Administration, and </w:t>
            </w:r>
          </w:p>
          <w:p w:rsidR="005D6EAF" w:rsidRPr="00C40939" w:rsidRDefault="005D6EAF" w:rsidP="00F25C80">
            <w:pPr>
              <w:spacing w:line="240" w:lineRule="auto"/>
              <w:rPr>
                <w:szCs w:val="24"/>
              </w:rPr>
            </w:pPr>
            <w:r w:rsidRPr="00C40939">
              <w:rPr>
                <w:szCs w:val="24"/>
              </w:rPr>
              <w:t>Purchaser</w:t>
            </w:r>
          </w:p>
        </w:tc>
        <w:tc>
          <w:tcPr>
            <w:tcW w:w="4788" w:type="dxa"/>
            <w:shd w:val="clear" w:color="auto" w:fill="auto"/>
          </w:tcPr>
          <w:p w:rsidR="005D6EAF" w:rsidRPr="00C40939" w:rsidRDefault="005D6EAF" w:rsidP="00C40939">
            <w:pPr>
              <w:spacing w:line="240" w:lineRule="auto"/>
              <w:rPr>
                <w:szCs w:val="24"/>
              </w:rPr>
            </w:pPr>
            <w:r w:rsidRPr="00C40939">
              <w:rPr>
                <w:szCs w:val="24"/>
              </w:rPr>
              <w:t>CONTRACTOR</w:t>
            </w:r>
          </w:p>
          <w:p w:rsidR="005D6EAF" w:rsidRPr="00C40939" w:rsidRDefault="005D6EAF" w:rsidP="00C40939">
            <w:pPr>
              <w:spacing w:line="240" w:lineRule="auto"/>
              <w:rPr>
                <w:szCs w:val="24"/>
              </w:rPr>
            </w:pPr>
          </w:p>
          <w:p w:rsidR="005D6EAF" w:rsidRPr="00C40939" w:rsidRDefault="005D6EAF" w:rsidP="00C40939">
            <w:pPr>
              <w:spacing w:line="240" w:lineRule="auto"/>
              <w:rPr>
                <w:b/>
                <w:color w:val="00B050"/>
                <w:szCs w:val="24"/>
              </w:rPr>
            </w:pPr>
            <w:r w:rsidRPr="00C40939">
              <w:rPr>
                <w:b/>
                <w:color w:val="00B050"/>
                <w:szCs w:val="24"/>
              </w:rPr>
              <w:t>[company name]</w:t>
            </w:r>
          </w:p>
          <w:p w:rsidR="005D6EAF" w:rsidRPr="00C40939" w:rsidRDefault="005D6EAF" w:rsidP="00C40939">
            <w:pPr>
              <w:spacing w:line="240" w:lineRule="auto"/>
              <w:rPr>
                <w:szCs w:val="24"/>
              </w:rPr>
            </w:pPr>
          </w:p>
          <w:p w:rsidR="005D6EAF" w:rsidRPr="00C40939" w:rsidRDefault="005D6EAF" w:rsidP="00C40939">
            <w:pPr>
              <w:spacing w:line="240" w:lineRule="auto"/>
              <w:rPr>
                <w:szCs w:val="24"/>
              </w:rPr>
            </w:pPr>
          </w:p>
          <w:p w:rsidR="005D6EAF" w:rsidRPr="00C40939" w:rsidRDefault="005D6EAF" w:rsidP="00C40939">
            <w:pPr>
              <w:spacing w:line="240" w:lineRule="auto"/>
              <w:rPr>
                <w:szCs w:val="24"/>
              </w:rPr>
            </w:pPr>
          </w:p>
          <w:p w:rsidR="005D6EAF" w:rsidRPr="00C40939" w:rsidRDefault="005D6EAF" w:rsidP="00C40939">
            <w:pPr>
              <w:spacing w:line="240" w:lineRule="auto"/>
              <w:rPr>
                <w:szCs w:val="24"/>
              </w:rPr>
            </w:pPr>
            <w:r w:rsidRPr="00C40939">
              <w:rPr>
                <w:szCs w:val="24"/>
              </w:rPr>
              <w:t>By signing this Agreement, I certify that I comply with the requirements of the Minimum Compensation Ordinance, which entitle Covered Employees to certain minimum hourly wages and compensated and uncompensated time off.</w:t>
            </w:r>
          </w:p>
          <w:p w:rsidR="005D6EAF" w:rsidRPr="00C40939" w:rsidRDefault="005D6EAF" w:rsidP="00C40939">
            <w:pPr>
              <w:spacing w:line="240" w:lineRule="auto"/>
              <w:rPr>
                <w:szCs w:val="24"/>
              </w:rPr>
            </w:pPr>
          </w:p>
          <w:p w:rsidR="005D6EAF" w:rsidRPr="00C40939" w:rsidRDefault="005D6EAF" w:rsidP="00C40939">
            <w:pPr>
              <w:spacing w:line="240" w:lineRule="auto"/>
              <w:rPr>
                <w:szCs w:val="24"/>
              </w:rPr>
            </w:pPr>
            <w:r w:rsidRPr="00C40939">
              <w:rPr>
                <w:szCs w:val="24"/>
              </w:rPr>
              <w:t xml:space="preserve">I have read and understood paragraph 28, the City’s statement urging companies doing business in </w:t>
            </w:r>
            <w:smartTag w:uri="urn:schemas-microsoft-com:office:smarttags" w:element="country-region">
              <w:smartTag w:uri="urn:schemas-microsoft-com:office:smarttags" w:element="place">
                <w:r w:rsidRPr="00C40939">
                  <w:rPr>
                    <w:szCs w:val="24"/>
                  </w:rPr>
                  <w:t>Northern Ireland</w:t>
                </w:r>
              </w:smartTag>
            </w:smartTag>
            <w:r w:rsidRPr="00C40939">
              <w:rPr>
                <w:szCs w:val="24"/>
              </w:rPr>
              <w:t xml:space="preserve"> to move towards resolving employment inequities, encouraging compliance with the MacBride Principles, and urging </w:t>
            </w:r>
          </w:p>
          <w:p w:rsidR="005D6EAF" w:rsidRPr="00C40939" w:rsidRDefault="005D6EAF" w:rsidP="00C40939">
            <w:pPr>
              <w:spacing w:line="240" w:lineRule="auto"/>
              <w:rPr>
                <w:szCs w:val="24"/>
              </w:rPr>
            </w:pPr>
            <w:smartTag w:uri="urn:schemas-microsoft-com:office:smarttags" w:element="City">
              <w:smartTag w:uri="urn:schemas-microsoft-com:office:smarttags" w:element="place">
                <w:r w:rsidRPr="00C40939">
                  <w:rPr>
                    <w:szCs w:val="24"/>
                  </w:rPr>
                  <w:t>San Francisco</w:t>
                </w:r>
              </w:smartTag>
            </w:smartTag>
            <w:r w:rsidRPr="00C40939">
              <w:rPr>
                <w:szCs w:val="24"/>
              </w:rPr>
              <w:t xml:space="preserve"> companies to do business with corporations that abide by the MacBride Principles.</w:t>
            </w:r>
          </w:p>
          <w:p w:rsidR="005D6EAF" w:rsidRPr="00C40939" w:rsidRDefault="005D6EAF" w:rsidP="00C40939">
            <w:pPr>
              <w:spacing w:line="240" w:lineRule="auto"/>
              <w:rPr>
                <w:szCs w:val="24"/>
              </w:rPr>
            </w:pPr>
          </w:p>
          <w:p w:rsidR="005D6EAF" w:rsidRPr="00C40939" w:rsidRDefault="005D6EAF" w:rsidP="00C40939">
            <w:pPr>
              <w:spacing w:line="240" w:lineRule="auto"/>
              <w:rPr>
                <w:szCs w:val="24"/>
              </w:rPr>
            </w:pPr>
          </w:p>
          <w:p w:rsidR="005D6EAF" w:rsidRPr="00C40939" w:rsidRDefault="005D6EAF" w:rsidP="00C40939">
            <w:pPr>
              <w:spacing w:line="240" w:lineRule="auto"/>
              <w:rPr>
                <w:szCs w:val="24"/>
              </w:rPr>
            </w:pPr>
          </w:p>
          <w:p w:rsidR="005D6EAF" w:rsidRPr="00C40939" w:rsidRDefault="005D6EAF" w:rsidP="00C40939">
            <w:pPr>
              <w:spacing w:line="240" w:lineRule="auto"/>
              <w:rPr>
                <w:szCs w:val="24"/>
              </w:rPr>
            </w:pPr>
            <w:r w:rsidRPr="00C40939">
              <w:rPr>
                <w:szCs w:val="24"/>
              </w:rPr>
              <w:t>_____________________________________</w:t>
            </w:r>
          </w:p>
          <w:p w:rsidR="005D6EAF" w:rsidRPr="00C40939" w:rsidRDefault="005D6EAF" w:rsidP="00C40939">
            <w:pPr>
              <w:spacing w:line="240" w:lineRule="auto"/>
              <w:rPr>
                <w:b/>
                <w:color w:val="008000"/>
                <w:szCs w:val="24"/>
              </w:rPr>
            </w:pPr>
            <w:r w:rsidRPr="00C40939">
              <w:rPr>
                <w:b/>
                <w:color w:val="008000"/>
                <w:szCs w:val="24"/>
              </w:rPr>
              <w:t>[name of authorized representative]</w:t>
            </w:r>
          </w:p>
          <w:p w:rsidR="005D6EAF" w:rsidRPr="00C40939" w:rsidRDefault="005D6EAF" w:rsidP="00C40939">
            <w:pPr>
              <w:spacing w:line="240" w:lineRule="auto"/>
              <w:rPr>
                <w:b/>
                <w:color w:val="008000"/>
                <w:szCs w:val="24"/>
              </w:rPr>
            </w:pPr>
            <w:r w:rsidRPr="00C40939">
              <w:rPr>
                <w:b/>
                <w:color w:val="008000"/>
                <w:szCs w:val="24"/>
              </w:rPr>
              <w:t>[title]</w:t>
            </w:r>
          </w:p>
          <w:p w:rsidR="005D6EAF" w:rsidRPr="00C40939" w:rsidRDefault="005D6EAF" w:rsidP="00C40939">
            <w:pPr>
              <w:spacing w:line="240" w:lineRule="auto"/>
              <w:rPr>
                <w:b/>
                <w:color w:val="008000"/>
                <w:szCs w:val="24"/>
              </w:rPr>
            </w:pPr>
            <w:r w:rsidRPr="00C40939">
              <w:rPr>
                <w:b/>
                <w:color w:val="008000"/>
                <w:szCs w:val="24"/>
              </w:rPr>
              <w:t>[</w:t>
            </w:r>
            <w:r w:rsidR="005F13BF" w:rsidRPr="00C40939">
              <w:rPr>
                <w:b/>
                <w:color w:val="008000"/>
                <w:szCs w:val="24"/>
              </w:rPr>
              <w:t xml:space="preserve">optional:  </w:t>
            </w:r>
            <w:r w:rsidRPr="00C40939">
              <w:rPr>
                <w:b/>
                <w:color w:val="008000"/>
                <w:szCs w:val="24"/>
              </w:rPr>
              <w:t>company name]</w:t>
            </w:r>
          </w:p>
          <w:p w:rsidR="005D6EAF" w:rsidRPr="00C40939" w:rsidRDefault="005D6EAF" w:rsidP="00C40939">
            <w:pPr>
              <w:spacing w:line="240" w:lineRule="auto"/>
              <w:rPr>
                <w:b/>
                <w:color w:val="008000"/>
                <w:szCs w:val="24"/>
              </w:rPr>
            </w:pPr>
            <w:r w:rsidRPr="00C40939">
              <w:rPr>
                <w:b/>
                <w:color w:val="008000"/>
                <w:szCs w:val="24"/>
              </w:rPr>
              <w:t>[</w:t>
            </w:r>
            <w:r w:rsidR="005F13BF" w:rsidRPr="00C40939">
              <w:rPr>
                <w:b/>
                <w:color w:val="008000"/>
                <w:szCs w:val="24"/>
              </w:rPr>
              <w:t xml:space="preserve">optional:  </w:t>
            </w:r>
            <w:r w:rsidRPr="00C40939">
              <w:rPr>
                <w:b/>
                <w:color w:val="008000"/>
                <w:szCs w:val="24"/>
              </w:rPr>
              <w:t>address]</w:t>
            </w:r>
          </w:p>
          <w:p w:rsidR="005D6EAF" w:rsidRPr="00C40939" w:rsidRDefault="005D6EAF" w:rsidP="00C40939">
            <w:pPr>
              <w:spacing w:line="240" w:lineRule="auto"/>
              <w:rPr>
                <w:szCs w:val="24"/>
              </w:rPr>
            </w:pPr>
            <w:r w:rsidRPr="00C40939">
              <w:rPr>
                <w:b/>
                <w:color w:val="008000"/>
                <w:szCs w:val="24"/>
              </w:rPr>
              <w:t>[</w:t>
            </w:r>
            <w:r w:rsidR="005F13BF" w:rsidRPr="00C40939">
              <w:rPr>
                <w:b/>
                <w:color w:val="008000"/>
                <w:szCs w:val="24"/>
              </w:rPr>
              <w:t xml:space="preserve">optional:  </w:t>
            </w:r>
            <w:r w:rsidRPr="00C40939">
              <w:rPr>
                <w:b/>
                <w:color w:val="008000"/>
                <w:szCs w:val="24"/>
              </w:rPr>
              <w:t>city, state, ZIP]</w:t>
            </w:r>
          </w:p>
          <w:p w:rsidR="005D6EAF" w:rsidRPr="00C40939" w:rsidRDefault="005D6EAF" w:rsidP="00C40939">
            <w:pPr>
              <w:spacing w:line="240" w:lineRule="auto"/>
              <w:rPr>
                <w:szCs w:val="24"/>
              </w:rPr>
            </w:pPr>
          </w:p>
          <w:p w:rsidR="005D6EAF" w:rsidRPr="00C40939" w:rsidRDefault="005D6EAF" w:rsidP="00C40939">
            <w:pPr>
              <w:spacing w:line="240" w:lineRule="auto"/>
              <w:rPr>
                <w:szCs w:val="24"/>
              </w:rPr>
            </w:pPr>
            <w:r w:rsidRPr="00C40939">
              <w:rPr>
                <w:szCs w:val="24"/>
              </w:rPr>
              <w:t xml:space="preserve">City vendor number: </w:t>
            </w:r>
            <w:r w:rsidRPr="00C40939">
              <w:rPr>
                <w:b/>
                <w:color w:val="008000"/>
                <w:szCs w:val="24"/>
              </w:rPr>
              <w:t>[vendor number]</w:t>
            </w:r>
          </w:p>
          <w:p w:rsidR="005D6EAF" w:rsidRPr="00C40939" w:rsidRDefault="005D6EAF" w:rsidP="00C40939">
            <w:pPr>
              <w:spacing w:line="240" w:lineRule="auto"/>
              <w:rPr>
                <w:szCs w:val="24"/>
              </w:rPr>
            </w:pPr>
          </w:p>
        </w:tc>
      </w:tr>
    </w:tbl>
    <w:p w:rsidR="00421EEF" w:rsidRPr="00C40939" w:rsidRDefault="00421EEF" w:rsidP="00C40939">
      <w:pPr>
        <w:spacing w:line="240" w:lineRule="auto"/>
        <w:rPr>
          <w:szCs w:val="24"/>
        </w:rPr>
      </w:pPr>
    </w:p>
    <w:p w:rsidR="00421EEF" w:rsidRPr="00C40939" w:rsidRDefault="005F13BF" w:rsidP="00C40939">
      <w:pPr>
        <w:spacing w:line="240" w:lineRule="auto"/>
        <w:rPr>
          <w:b/>
          <w:color w:val="008000"/>
          <w:szCs w:val="24"/>
        </w:rPr>
      </w:pPr>
      <w:r w:rsidRPr="00C40939">
        <w:rPr>
          <w:b/>
          <w:color w:val="008000"/>
          <w:szCs w:val="24"/>
        </w:rPr>
        <w:sym w:font="Wingdings 3" w:char="F096"/>
      </w:r>
      <w:r w:rsidRPr="00C40939">
        <w:rPr>
          <w:b/>
          <w:color w:val="008000"/>
          <w:szCs w:val="24"/>
        </w:rPr>
        <w:t xml:space="preserve"> I</w:t>
      </w:r>
      <w:r w:rsidR="00421EEF" w:rsidRPr="00C40939">
        <w:rPr>
          <w:b/>
          <w:color w:val="008000"/>
          <w:szCs w:val="24"/>
        </w:rPr>
        <w:t>f you have received a waiver from the Risk Manager, then name Appendix A here:</w:t>
      </w:r>
    </w:p>
    <w:p w:rsidR="00421EEF" w:rsidRPr="00C40939" w:rsidRDefault="00421EEF" w:rsidP="00C40939">
      <w:pPr>
        <w:spacing w:line="240" w:lineRule="auto"/>
        <w:rPr>
          <w:color w:val="008000"/>
          <w:szCs w:val="24"/>
        </w:rPr>
      </w:pPr>
    </w:p>
    <w:p w:rsidR="00421EEF" w:rsidRPr="00C40939" w:rsidRDefault="00421EEF" w:rsidP="00C40939">
      <w:pPr>
        <w:spacing w:line="240" w:lineRule="auto"/>
        <w:rPr>
          <w:b/>
          <w:color w:val="008000"/>
          <w:szCs w:val="24"/>
        </w:rPr>
      </w:pPr>
      <w:r w:rsidRPr="00C40939">
        <w:rPr>
          <w:b/>
          <w:color w:val="008000"/>
          <w:szCs w:val="24"/>
        </w:rPr>
        <w:t>[Appendix A:  Insurance Waiver]</w:t>
      </w:r>
    </w:p>
    <w:p w:rsidR="00421EEF" w:rsidRPr="00C40939" w:rsidRDefault="00421EEF" w:rsidP="00C40939">
      <w:pPr>
        <w:spacing w:line="240" w:lineRule="auto"/>
        <w:rPr>
          <w:szCs w:val="24"/>
        </w:rPr>
      </w:pPr>
    </w:p>
    <w:p w:rsidR="005F13BF" w:rsidRPr="00C40939" w:rsidRDefault="005F13BF" w:rsidP="00C40939">
      <w:pPr>
        <w:spacing w:line="240" w:lineRule="auto"/>
        <w:rPr>
          <w:b/>
          <w:color w:val="008000"/>
          <w:szCs w:val="24"/>
        </w:rPr>
      </w:pPr>
      <w:r w:rsidRPr="00C40939">
        <w:rPr>
          <w:b/>
          <w:color w:val="008000"/>
          <w:szCs w:val="24"/>
        </w:rPr>
        <w:sym w:font="Wingdings 3" w:char="F096"/>
      </w:r>
      <w:r w:rsidRPr="00C40939">
        <w:rPr>
          <w:b/>
          <w:color w:val="008000"/>
          <w:szCs w:val="24"/>
        </w:rPr>
        <w:t xml:space="preserve"> In the footer, the page number should match the “of” number, such as “19 of 19.”</w:t>
      </w:r>
    </w:p>
    <w:p w:rsidR="005F13BF" w:rsidRPr="00C40939" w:rsidRDefault="005F13BF" w:rsidP="00C40939">
      <w:pPr>
        <w:spacing w:line="240" w:lineRule="auto"/>
        <w:rPr>
          <w:b/>
          <w:color w:val="008000"/>
          <w:szCs w:val="24"/>
        </w:rPr>
        <w:sectPr w:rsidR="005F13BF" w:rsidRPr="00C40939" w:rsidSect="00FC2027">
          <w:footerReference w:type="default" r:id="rId9"/>
          <w:type w:val="continuous"/>
          <w:pgSz w:w="12240" w:h="15840"/>
          <w:pgMar w:top="1440" w:right="1440" w:bottom="1440" w:left="1440" w:header="720" w:footer="576" w:gutter="0"/>
          <w:pgNumType w:start="1"/>
          <w:cols w:space="720"/>
          <w:docGrid w:linePitch="360"/>
        </w:sectPr>
      </w:pPr>
    </w:p>
    <w:p w:rsidR="00421EEF" w:rsidRPr="00C40939" w:rsidRDefault="00421EEF" w:rsidP="00C40939">
      <w:pPr>
        <w:spacing w:line="240" w:lineRule="auto"/>
        <w:rPr>
          <w:szCs w:val="24"/>
        </w:rPr>
      </w:pPr>
    </w:p>
    <w:p w:rsidR="0082788F" w:rsidRPr="00C40939" w:rsidRDefault="0082788F" w:rsidP="00C40939">
      <w:pPr>
        <w:pStyle w:val="Text"/>
        <w:spacing w:before="0" w:line="240" w:lineRule="auto"/>
        <w:ind w:firstLine="0"/>
        <w:rPr>
          <w:szCs w:val="24"/>
        </w:rPr>
      </w:pPr>
    </w:p>
    <w:p w:rsidR="0082788F" w:rsidRPr="00C40939" w:rsidRDefault="0082788F" w:rsidP="00C40939">
      <w:pPr>
        <w:pStyle w:val="Header"/>
        <w:tabs>
          <w:tab w:val="clear" w:pos="4320"/>
          <w:tab w:val="clear" w:pos="8640"/>
        </w:tabs>
        <w:spacing w:line="240" w:lineRule="auto"/>
        <w:jc w:val="center"/>
        <w:rPr>
          <w:b/>
          <w:bCs/>
          <w:szCs w:val="24"/>
        </w:rPr>
        <w:sectPr w:rsidR="0082788F" w:rsidRPr="00C40939" w:rsidSect="00FF14C5">
          <w:type w:val="continuous"/>
          <w:pgSz w:w="12240" w:h="15840" w:code="1"/>
          <w:pgMar w:top="1440" w:right="1440" w:bottom="576" w:left="1440" w:header="720" w:footer="576" w:gutter="0"/>
          <w:cols w:space="720"/>
          <w:docGrid w:linePitch="360"/>
        </w:sectPr>
      </w:pPr>
    </w:p>
    <w:p w:rsidR="00421EEF" w:rsidRPr="00C40939" w:rsidRDefault="00421EEF" w:rsidP="00C40939">
      <w:pPr>
        <w:spacing w:line="240" w:lineRule="auto"/>
        <w:jc w:val="center"/>
        <w:rPr>
          <w:b/>
          <w:szCs w:val="24"/>
        </w:rPr>
      </w:pPr>
      <w:r w:rsidRPr="00C40939">
        <w:rPr>
          <w:b/>
          <w:szCs w:val="24"/>
        </w:rPr>
        <w:lastRenderedPageBreak/>
        <w:t>Appendix A</w:t>
      </w:r>
    </w:p>
    <w:p w:rsidR="00421EEF" w:rsidRPr="00C40939" w:rsidRDefault="00421EEF" w:rsidP="00C40939">
      <w:pPr>
        <w:spacing w:line="240" w:lineRule="auto"/>
        <w:jc w:val="center"/>
        <w:rPr>
          <w:b/>
          <w:szCs w:val="24"/>
        </w:rPr>
      </w:pPr>
      <w:r w:rsidRPr="00C40939">
        <w:rPr>
          <w:b/>
          <w:szCs w:val="24"/>
        </w:rPr>
        <w:t>Insurance Waiver</w:t>
      </w:r>
    </w:p>
    <w:p w:rsidR="00421EEF" w:rsidRPr="00C40939" w:rsidRDefault="00421EEF" w:rsidP="00C40939">
      <w:pPr>
        <w:spacing w:line="240" w:lineRule="auto"/>
        <w:rPr>
          <w:szCs w:val="24"/>
        </w:rPr>
      </w:pPr>
    </w:p>
    <w:p w:rsidR="00421EEF" w:rsidRPr="00C40939" w:rsidRDefault="00421EEF" w:rsidP="00C40939">
      <w:pPr>
        <w:spacing w:line="240" w:lineRule="auto"/>
        <w:rPr>
          <w:szCs w:val="24"/>
        </w:rPr>
      </w:pPr>
    </w:p>
    <w:p w:rsidR="00421EEF" w:rsidRPr="00C40939" w:rsidRDefault="00421EEF" w:rsidP="00C40939">
      <w:pPr>
        <w:spacing w:line="240" w:lineRule="auto"/>
        <w:rPr>
          <w:szCs w:val="24"/>
        </w:rPr>
      </w:pPr>
    </w:p>
    <w:p w:rsidR="00421EEF" w:rsidRPr="00C40939" w:rsidRDefault="00421EEF" w:rsidP="00C40939">
      <w:pPr>
        <w:spacing w:line="240" w:lineRule="auto"/>
        <w:rPr>
          <w:b/>
          <w:color w:val="00B050"/>
          <w:szCs w:val="24"/>
        </w:rPr>
      </w:pPr>
      <w:r w:rsidRPr="00C40939">
        <w:rPr>
          <w:b/>
          <w:color w:val="00B050"/>
          <w:szCs w:val="24"/>
        </w:rPr>
        <w:t>[Use as appropriate and only if an insurance waiver has been signed and granted by the Risk Manager.]</w:t>
      </w:r>
    </w:p>
    <w:p w:rsidR="00421EEF" w:rsidRPr="00C40939" w:rsidRDefault="00421EEF" w:rsidP="00C40939">
      <w:pPr>
        <w:spacing w:line="240" w:lineRule="auto"/>
        <w:rPr>
          <w:szCs w:val="24"/>
        </w:rPr>
      </w:pPr>
    </w:p>
    <w:p w:rsidR="00421EEF" w:rsidRPr="00C40939" w:rsidRDefault="00421EEF" w:rsidP="00C40939">
      <w:pPr>
        <w:spacing w:line="240" w:lineRule="auto"/>
        <w:rPr>
          <w:szCs w:val="24"/>
        </w:rPr>
      </w:pPr>
    </w:p>
    <w:p w:rsidR="00664608" w:rsidRPr="00C40939" w:rsidRDefault="00664608" w:rsidP="00C40939">
      <w:pPr>
        <w:spacing w:line="240" w:lineRule="auto"/>
        <w:rPr>
          <w:szCs w:val="24"/>
        </w:rPr>
      </w:pPr>
      <w:r w:rsidRPr="00C40939">
        <w:rPr>
          <w:szCs w:val="24"/>
        </w:rPr>
        <w:t xml:space="preserve"> </w:t>
      </w:r>
    </w:p>
    <w:p w:rsidR="00664608" w:rsidRPr="00C40939" w:rsidRDefault="00664608" w:rsidP="00C40939">
      <w:pPr>
        <w:spacing w:line="240" w:lineRule="auto"/>
        <w:rPr>
          <w:szCs w:val="24"/>
        </w:rPr>
      </w:pPr>
    </w:p>
    <w:p w:rsidR="00D6109E" w:rsidRPr="00C40939" w:rsidRDefault="00D6109E" w:rsidP="00C40939">
      <w:pPr>
        <w:spacing w:line="240" w:lineRule="auto"/>
        <w:rPr>
          <w:szCs w:val="24"/>
        </w:rPr>
      </w:pPr>
    </w:p>
    <w:p w:rsidR="00664608" w:rsidRPr="00C40939" w:rsidRDefault="00664608" w:rsidP="00C40939">
      <w:pPr>
        <w:spacing w:line="240" w:lineRule="auto"/>
        <w:rPr>
          <w:szCs w:val="24"/>
        </w:rPr>
      </w:pPr>
    </w:p>
    <w:p w:rsidR="00664608" w:rsidRPr="00C40939" w:rsidRDefault="00664608" w:rsidP="00C40939">
      <w:pPr>
        <w:spacing w:line="240" w:lineRule="auto"/>
        <w:rPr>
          <w:szCs w:val="24"/>
        </w:rPr>
      </w:pPr>
    </w:p>
    <w:p w:rsidR="00664608" w:rsidRPr="00C40939" w:rsidRDefault="00664608" w:rsidP="00C40939">
      <w:pPr>
        <w:spacing w:line="240" w:lineRule="auto"/>
        <w:rPr>
          <w:szCs w:val="24"/>
        </w:rPr>
      </w:pPr>
    </w:p>
    <w:p w:rsidR="00664608" w:rsidRPr="00C40939" w:rsidRDefault="00664608" w:rsidP="00C40939">
      <w:pPr>
        <w:spacing w:line="240" w:lineRule="auto"/>
        <w:rPr>
          <w:szCs w:val="24"/>
        </w:rPr>
      </w:pPr>
    </w:p>
    <w:p w:rsidR="00664608" w:rsidRPr="00C40939" w:rsidRDefault="00664608" w:rsidP="00C40939">
      <w:pPr>
        <w:spacing w:line="240" w:lineRule="auto"/>
        <w:rPr>
          <w:szCs w:val="24"/>
        </w:rPr>
        <w:sectPr w:rsidR="00664608" w:rsidRPr="00C40939" w:rsidSect="00FA6C4D">
          <w:footerReference w:type="default" r:id="rId10"/>
          <w:pgSz w:w="12240" w:h="15840"/>
          <w:pgMar w:top="1440" w:right="1440" w:bottom="1440" w:left="1440" w:header="720" w:footer="720" w:gutter="0"/>
          <w:pgNumType w:start="1"/>
          <w:cols w:space="720"/>
        </w:sectPr>
      </w:pPr>
    </w:p>
    <w:p w:rsidR="00664608" w:rsidRPr="00C40939" w:rsidRDefault="00664608" w:rsidP="00C40939">
      <w:pPr>
        <w:spacing w:line="240" w:lineRule="auto"/>
        <w:rPr>
          <w:szCs w:val="24"/>
        </w:rPr>
      </w:pPr>
    </w:p>
    <w:p w:rsidR="00664608" w:rsidRPr="00C40939" w:rsidRDefault="00664608" w:rsidP="00C40939">
      <w:pPr>
        <w:spacing w:line="240" w:lineRule="auto"/>
        <w:rPr>
          <w:szCs w:val="24"/>
        </w:rPr>
      </w:pPr>
    </w:p>
    <w:sectPr w:rsidR="00664608" w:rsidRPr="00C40939" w:rsidSect="005F13BF">
      <w:headerReference w:type="default" r:id="rId11"/>
      <w:footerReference w:type="default" r:id="rId12"/>
      <w:type w:val="continuous"/>
      <w:pgSz w:w="12240" w:h="15840" w:code="1"/>
      <w:pgMar w:top="1440" w:right="1440" w:bottom="1440" w:left="144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4A8" w:rsidRDefault="009114A8">
      <w:pPr>
        <w:spacing w:line="240" w:lineRule="auto"/>
      </w:pPr>
      <w:r>
        <w:separator/>
      </w:r>
    </w:p>
  </w:endnote>
  <w:endnote w:type="continuationSeparator" w:id="0">
    <w:p w:rsidR="009114A8" w:rsidRDefault="009114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FE7" w:rsidRDefault="00476FE7" w:rsidP="00244DD5">
    <w:pPr>
      <w:pStyle w:val="Footer"/>
      <w:rPr>
        <w:sz w:val="20"/>
      </w:rPr>
    </w:pPr>
  </w:p>
  <w:p w:rsidR="00476FE7" w:rsidRPr="00A66B41" w:rsidRDefault="00476FE7" w:rsidP="00244DD5">
    <w:pPr>
      <w:pStyle w:val="Footer"/>
      <w:rPr>
        <w:sz w:val="20"/>
      </w:rPr>
    </w:pPr>
  </w:p>
  <w:p w:rsidR="00476FE7" w:rsidRPr="00A66B41" w:rsidRDefault="00476FE7" w:rsidP="00244DD5">
    <w:pPr>
      <w:tabs>
        <w:tab w:val="left" w:pos="720"/>
        <w:tab w:val="center" w:pos="4680"/>
        <w:tab w:val="right" w:pos="9180"/>
      </w:tabs>
      <w:rPr>
        <w:sz w:val="20"/>
      </w:rPr>
    </w:pPr>
    <w:r>
      <w:rPr>
        <w:sz w:val="20"/>
      </w:rPr>
      <w:t>P-530  (</w:t>
    </w:r>
    <w:r w:rsidR="00BC7922">
      <w:rPr>
        <w:sz w:val="20"/>
      </w:rPr>
      <w:t>4-15</w:t>
    </w:r>
    <w:r w:rsidRPr="00A66B41">
      <w:rPr>
        <w:sz w:val="20"/>
      </w:rPr>
      <w:t>)</w:t>
    </w:r>
    <w:r w:rsidRPr="00A66B41">
      <w:rPr>
        <w:sz w:val="20"/>
      </w:rPr>
      <w:tab/>
    </w:r>
    <w:r w:rsidRPr="00A66B41">
      <w:rPr>
        <w:sz w:val="20"/>
      </w:rPr>
      <w:fldChar w:fldCharType="begin"/>
    </w:r>
    <w:r w:rsidRPr="00A66B41">
      <w:rPr>
        <w:sz w:val="20"/>
      </w:rPr>
      <w:instrText xml:space="preserve"> PAGE </w:instrText>
    </w:r>
    <w:r w:rsidRPr="00A66B41">
      <w:rPr>
        <w:sz w:val="20"/>
      </w:rPr>
      <w:fldChar w:fldCharType="separate"/>
    </w:r>
    <w:r w:rsidR="005809D4">
      <w:rPr>
        <w:noProof/>
        <w:sz w:val="20"/>
      </w:rPr>
      <w:t>21</w:t>
    </w:r>
    <w:r w:rsidRPr="00A66B41">
      <w:rPr>
        <w:sz w:val="20"/>
      </w:rPr>
      <w:fldChar w:fldCharType="end"/>
    </w:r>
    <w:r w:rsidRPr="00A66B41">
      <w:rPr>
        <w:sz w:val="20"/>
      </w:rPr>
      <w:t xml:space="preserve"> of </w:t>
    </w:r>
    <w:r w:rsidRPr="00F25C80">
      <w:rPr>
        <w:b/>
        <w:color w:val="00B050"/>
        <w:sz w:val="20"/>
      </w:rPr>
      <w:t>___</w:t>
    </w:r>
    <w:r>
      <w:rPr>
        <w:color w:val="00B050"/>
        <w:sz w:val="20"/>
      </w:rPr>
      <w:t xml:space="preserve"> </w:t>
    </w:r>
    <w:r w:rsidRPr="004A5289">
      <w:rPr>
        <w:color w:val="008000"/>
        <w:sz w:val="20"/>
      </w:rPr>
      <w:t>[tweak as necessary]</w:t>
    </w:r>
    <w:r w:rsidRPr="004A5289">
      <w:rPr>
        <w:color w:val="008000"/>
        <w:sz w:val="20"/>
      </w:rPr>
      <w:tab/>
    </w:r>
    <w:r w:rsidRPr="004A5289">
      <w:rPr>
        <w:b/>
        <w:color w:val="008000"/>
        <w:sz w:val="20"/>
      </w:rPr>
      <w:t>[agreement date]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FE7" w:rsidRPr="005F13BF" w:rsidRDefault="00476FE7" w:rsidP="005F13BF">
    <w:pPr>
      <w:pStyle w:val="Footer"/>
      <w:tabs>
        <w:tab w:val="clear" w:pos="4320"/>
        <w:tab w:val="clear" w:pos="8640"/>
        <w:tab w:val="center" w:pos="4680"/>
        <w:tab w:val="right" w:pos="9270"/>
      </w:tabs>
      <w:rPr>
        <w:sz w:val="20"/>
      </w:rPr>
    </w:pPr>
  </w:p>
  <w:p w:rsidR="00476FE7" w:rsidRPr="005F13BF" w:rsidRDefault="00476FE7" w:rsidP="005F13BF">
    <w:pPr>
      <w:pStyle w:val="Footer"/>
      <w:tabs>
        <w:tab w:val="clear" w:pos="4320"/>
        <w:tab w:val="clear" w:pos="8640"/>
        <w:tab w:val="center" w:pos="4680"/>
        <w:tab w:val="right" w:pos="9270"/>
      </w:tabs>
      <w:rPr>
        <w:sz w:val="20"/>
      </w:rPr>
    </w:pPr>
    <w:r w:rsidRPr="005F13BF">
      <w:rPr>
        <w:sz w:val="20"/>
      </w:rPr>
      <w:t>P-530</w:t>
    </w:r>
    <w:r w:rsidR="00414894">
      <w:rPr>
        <w:sz w:val="20"/>
      </w:rPr>
      <w:t xml:space="preserve"> (</w:t>
    </w:r>
    <w:r w:rsidR="00BC7922">
      <w:rPr>
        <w:sz w:val="20"/>
      </w:rPr>
      <w:t>4-15</w:t>
    </w:r>
    <w:r w:rsidR="00414894" w:rsidRPr="00A66B41">
      <w:rPr>
        <w:sz w:val="20"/>
      </w:rPr>
      <w:t>)</w:t>
    </w:r>
    <w:r w:rsidRPr="005F13BF">
      <w:rPr>
        <w:sz w:val="20"/>
      </w:rPr>
      <w:tab/>
      <w:t>A-1</w:t>
    </w:r>
    <w:r w:rsidRPr="005F13BF">
      <w:rPr>
        <w:sz w:val="20"/>
      </w:rPr>
      <w:tab/>
    </w:r>
    <w:r w:rsidRPr="005F13BF">
      <w:rPr>
        <w:b/>
        <w:color w:val="008000"/>
        <w:sz w:val="20"/>
      </w:rPr>
      <w:t>[agreement date]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888"/>
      <w:gridCol w:w="1350"/>
      <w:gridCol w:w="4338"/>
    </w:tblGrid>
    <w:tr w:rsidR="00476FE7">
      <w:tc>
        <w:tcPr>
          <w:tcW w:w="3888" w:type="dxa"/>
        </w:tcPr>
        <w:p w:rsidR="00476FE7" w:rsidRDefault="00476FE7">
          <w:pPr>
            <w:pStyle w:val="Footer"/>
          </w:pPr>
          <w:r>
            <w:rPr>
              <w:sz w:val="16"/>
            </w:rPr>
            <w:fldChar w:fldCharType="begin"/>
          </w:r>
          <w:r>
            <w:rPr>
              <w:sz w:val="16"/>
            </w:rPr>
            <w:instrText xml:space="preserve"> TIME \@ "M/d/yy" </w:instrText>
          </w:r>
          <w:r>
            <w:rPr>
              <w:sz w:val="16"/>
            </w:rPr>
            <w:fldChar w:fldCharType="separate"/>
          </w:r>
          <w:r w:rsidR="005809D4">
            <w:rPr>
              <w:noProof/>
              <w:sz w:val="16"/>
            </w:rPr>
            <w:t>6/17/19</w:t>
          </w:r>
          <w:r>
            <w:rPr>
              <w:sz w:val="16"/>
            </w:rPr>
            <w:fldChar w:fldCharType="end"/>
          </w:r>
        </w:p>
      </w:tc>
      <w:tc>
        <w:tcPr>
          <w:tcW w:w="1350" w:type="dxa"/>
        </w:tcPr>
        <w:p w:rsidR="00476FE7" w:rsidRDefault="00476FE7">
          <w:pPr>
            <w:pStyle w:val="Footer"/>
            <w:jc w:val="center"/>
          </w:pPr>
          <w:r>
            <w:t>Index-</w:t>
          </w:r>
          <w:r>
            <w:fldChar w:fldCharType="begin"/>
          </w:r>
          <w:r>
            <w:instrText xml:space="preserve"> PAGE </w:instrText>
          </w:r>
          <w:r>
            <w:fldChar w:fldCharType="separate"/>
          </w:r>
          <w:r>
            <w:rPr>
              <w:noProof/>
            </w:rPr>
            <w:t>1</w:t>
          </w:r>
          <w:r>
            <w:fldChar w:fldCharType="end"/>
          </w:r>
        </w:p>
      </w:tc>
      <w:tc>
        <w:tcPr>
          <w:tcW w:w="4338" w:type="dxa"/>
        </w:tcPr>
        <w:p w:rsidR="00476FE7" w:rsidRPr="004A7E34" w:rsidRDefault="00476FE7">
          <w:pPr>
            <w:pStyle w:val="Footer"/>
            <w:jc w:val="right"/>
            <w:rPr>
              <w:sz w:val="14"/>
              <w:szCs w:val="14"/>
            </w:rPr>
          </w:pPr>
          <w:r>
            <w:rPr>
              <w:sz w:val="14"/>
              <w:szCs w:val="14"/>
            </w:rPr>
            <w:fldChar w:fldCharType="begin"/>
          </w:r>
          <w:r>
            <w:rPr>
              <w:sz w:val="14"/>
              <w:szCs w:val="14"/>
            </w:rPr>
            <w:instrText xml:space="preserve"> FILENAME \* Lower\p \* Lower \p </w:instrText>
          </w:r>
          <w:r>
            <w:rPr>
              <w:sz w:val="14"/>
              <w:szCs w:val="14"/>
            </w:rPr>
            <w:fldChar w:fldCharType="separate"/>
          </w:r>
          <w:r>
            <w:rPr>
              <w:noProof/>
              <w:sz w:val="14"/>
              <w:szCs w:val="14"/>
            </w:rPr>
            <w:t>n:\contract\acwong\intranet09\marc0509\good ones to have marc post and catty pos\p-530 w2k7 (5-11-09).doc</w:t>
          </w:r>
          <w:r>
            <w:rPr>
              <w:sz w:val="14"/>
              <w:szCs w:val="14"/>
            </w:rPr>
            <w:fldChar w:fldCharType="end"/>
          </w:r>
        </w:p>
      </w:tc>
    </w:tr>
  </w:tbl>
  <w:p w:rsidR="00476FE7" w:rsidRDefault="00476FE7">
    <w:pPr>
      <w:pStyle w:val="Footer"/>
      <w:spacing w:line="6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4A8" w:rsidRDefault="009114A8">
      <w:pPr>
        <w:spacing w:line="240" w:lineRule="auto"/>
      </w:pPr>
      <w:r>
        <w:separator/>
      </w:r>
    </w:p>
  </w:footnote>
  <w:footnote w:type="continuationSeparator" w:id="0">
    <w:p w:rsidR="009114A8" w:rsidRDefault="009114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FE7" w:rsidRDefault="00476F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5888B64E"/>
    <w:lvl w:ilvl="0">
      <w:start w:val="1"/>
      <w:numFmt w:val="none"/>
      <w:pStyle w:val="Heading1"/>
      <w:suff w:val="nothing"/>
      <w:lvlText w:val=""/>
      <w:lvlJc w:val="center"/>
      <w:pPr>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2E621B1B"/>
    <w:multiLevelType w:val="multilevel"/>
    <w:tmpl w:val="D108961E"/>
    <w:lvl w:ilvl="0">
      <w:start w:val="1"/>
      <w:numFmt w:val="none"/>
      <w:pStyle w:val="Level1"/>
      <w:suff w:val="nothing"/>
      <w:lvlText w:val=""/>
      <w:lvlJc w:val="center"/>
      <w:pPr>
        <w:ind w:left="0" w:firstLine="0"/>
      </w:pPr>
      <w:rPr>
        <w:rFonts w:ascii="Times New Roman" w:hAnsi="Times New Roman" w:hint="default"/>
        <w:b/>
        <w:i w:val="0"/>
        <w:caps/>
        <w:sz w:val="24"/>
        <w:u w:val="single"/>
      </w:rPr>
    </w:lvl>
    <w:lvl w:ilvl="1">
      <w:start w:val="1"/>
      <w:numFmt w:val="none"/>
      <w:suff w:val="nothing"/>
      <w:lvlText w:val=""/>
      <w:lvlJc w:val="center"/>
      <w:pPr>
        <w:ind w:left="0" w:firstLine="0"/>
      </w:pPr>
      <w:rPr>
        <w:rFonts w:ascii="Times New Roman" w:hAnsi="Times New Roman" w:hint="default"/>
        <w:b/>
        <w:i w:val="0"/>
        <w:sz w:val="24"/>
        <w:u w:val="single"/>
      </w:rPr>
    </w:lvl>
    <w:lvl w:ilvl="2">
      <w:start w:val="1"/>
      <w:numFmt w:val="decimal"/>
      <w:lvlText w:val="%3."/>
      <w:lvlJc w:val="left"/>
      <w:pPr>
        <w:tabs>
          <w:tab w:val="num" w:pos="720"/>
        </w:tabs>
        <w:ind w:left="720" w:hanging="720"/>
      </w:pPr>
      <w:rPr>
        <w:rFonts w:ascii="Times New Roman" w:hAnsi="Times New Roman" w:hint="default"/>
        <w:b/>
        <w:i w:val="0"/>
        <w:sz w:val="24"/>
      </w:rPr>
    </w:lvl>
    <w:lvl w:ilvl="3">
      <w:start w:val="1"/>
      <w:numFmt w:val="lowerLetter"/>
      <w:lvlText w:val="%4."/>
      <w:lvlJc w:val="left"/>
      <w:pPr>
        <w:tabs>
          <w:tab w:val="num" w:pos="1440"/>
        </w:tabs>
        <w:ind w:left="1440" w:hanging="720"/>
      </w:pPr>
      <w:rPr>
        <w:rFonts w:ascii="Times New Roman" w:hAnsi="Times New Roman" w:hint="default"/>
        <w:b w:val="0"/>
        <w:i w:val="0"/>
        <w:sz w:val="24"/>
      </w:rPr>
    </w:lvl>
    <w:lvl w:ilvl="4">
      <w:start w:val="1"/>
      <w:numFmt w:val="decimal"/>
      <w:lvlText w:val="%5)"/>
      <w:lvlJc w:val="left"/>
      <w:pPr>
        <w:tabs>
          <w:tab w:val="num" w:pos="2160"/>
        </w:tabs>
        <w:ind w:left="2160" w:hanging="720"/>
      </w:pPr>
      <w:rPr>
        <w:rFonts w:ascii="Times New Roman" w:hAnsi="Times New Roman" w:hint="default"/>
        <w:b w:val="0"/>
        <w:i w:val="0"/>
        <w:sz w:val="24"/>
      </w:rPr>
    </w:lvl>
    <w:lvl w:ilvl="5">
      <w:start w:val="1"/>
      <w:numFmt w:val="lowerLetter"/>
      <w:lvlText w:val="(%6)"/>
      <w:lvlJc w:val="left"/>
      <w:pPr>
        <w:tabs>
          <w:tab w:val="num" w:pos="2880"/>
        </w:tabs>
        <w:ind w:left="2880" w:hanging="72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37D94CD9"/>
    <w:multiLevelType w:val="multilevel"/>
    <w:tmpl w:val="D23A823E"/>
    <w:lvl w:ilvl="0">
      <w:start w:val="1"/>
      <w:numFmt w:val="none"/>
      <w:suff w:val="nothing"/>
      <w:lvlText w:val=""/>
      <w:lvlJc w:val="center"/>
      <w:pPr>
        <w:ind w:left="0" w:firstLine="0"/>
      </w:pPr>
      <w:rPr>
        <w:rFonts w:hint="default"/>
      </w:rPr>
    </w:lvl>
    <w:lvl w:ilvl="1">
      <w:start w:val="1"/>
      <w:numFmt w:val="none"/>
      <w:pStyle w:val="Level2"/>
      <w:suff w:val="nothing"/>
      <w:lvlText w:val=""/>
      <w:lvlJc w:val="center"/>
      <w:pPr>
        <w:ind w:left="0" w:firstLine="0"/>
      </w:pPr>
      <w:rPr>
        <w:rFonts w:hint="default"/>
      </w:rPr>
    </w:lvl>
    <w:lvl w:ilvl="2">
      <w:start w:val="1"/>
      <w:numFmt w:val="decimal"/>
      <w:pStyle w:val="Level3"/>
      <w:lvlText w:val="%3."/>
      <w:lvlJc w:val="left"/>
      <w:pPr>
        <w:tabs>
          <w:tab w:val="num" w:pos="720"/>
        </w:tabs>
        <w:ind w:left="720" w:hanging="720"/>
      </w:pPr>
      <w:rPr>
        <w:rFonts w:hint="default"/>
        <w:b/>
        <w:i w:val="0"/>
        <w:color w:val="auto"/>
      </w:rPr>
    </w:lvl>
    <w:lvl w:ilvl="3">
      <w:start w:val="1"/>
      <w:numFmt w:val="lowerLetter"/>
      <w:pStyle w:val="Level4"/>
      <w:lvlText w:val="%4."/>
      <w:lvlJc w:val="left"/>
      <w:pPr>
        <w:tabs>
          <w:tab w:val="num" w:pos="720"/>
        </w:tabs>
        <w:ind w:left="720" w:hanging="720"/>
      </w:pPr>
      <w:rPr>
        <w:rFonts w:hint="default"/>
      </w:rPr>
    </w:lvl>
    <w:lvl w:ilvl="4">
      <w:start w:val="1"/>
      <w:numFmt w:val="decimal"/>
      <w:pStyle w:val="Level5"/>
      <w:lvlText w:val="%5)"/>
      <w:lvlJc w:val="left"/>
      <w:pPr>
        <w:tabs>
          <w:tab w:val="num" w:pos="2160"/>
        </w:tabs>
        <w:ind w:left="2160" w:hanging="720"/>
      </w:pPr>
      <w:rPr>
        <w:rFonts w:hint="default"/>
      </w:rPr>
    </w:lvl>
    <w:lvl w:ilvl="5">
      <w:start w:val="1"/>
      <w:numFmt w:val="lowerLetter"/>
      <w:pStyle w:val="Level6"/>
      <w:lvlText w:val="(%6)"/>
      <w:lvlJc w:val="left"/>
      <w:pPr>
        <w:tabs>
          <w:tab w:val="num" w:pos="2880"/>
        </w:tabs>
        <w:ind w:left="2880" w:hanging="72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3B963757"/>
    <w:multiLevelType w:val="singleLevel"/>
    <w:tmpl w:val="640E0B14"/>
    <w:lvl w:ilvl="0">
      <w:start w:val="1"/>
      <w:numFmt w:val="upperLetter"/>
      <w:pStyle w:val="RecitalNumbering"/>
      <w:lvlText w:val="%1."/>
      <w:lvlJc w:val="left"/>
      <w:pPr>
        <w:tabs>
          <w:tab w:val="num" w:pos="1080"/>
        </w:tabs>
        <w:ind w:left="0" w:firstLine="720"/>
      </w:pPr>
      <w:rPr>
        <w:b/>
        <w:i w:val="0"/>
      </w:rPr>
    </w:lvl>
  </w:abstractNum>
  <w:abstractNum w:abstractNumId="4" w15:restartNumberingAfterBreak="0">
    <w:nsid w:val="6FBF3C2F"/>
    <w:multiLevelType w:val="multilevel"/>
    <w:tmpl w:val="05746B9E"/>
    <w:lvl w:ilvl="0">
      <w:start w:val="1"/>
      <w:numFmt w:val="none"/>
      <w:pStyle w:val="TOC1"/>
      <w:suff w:val="nothing"/>
      <w:lvlText w:val=""/>
      <w:lvlJc w:val="left"/>
      <w:pPr>
        <w:ind w:left="0" w:firstLine="0"/>
      </w:pPr>
      <w:rPr>
        <w:rFonts w:ascii="Times New Roman" w:hAnsi="Times New Roman" w:hint="default"/>
        <w:b w:val="0"/>
        <w:i w:val="0"/>
        <w:sz w:val="24"/>
      </w:rPr>
    </w:lvl>
    <w:lvl w:ilvl="1">
      <w:start w:val="1"/>
      <w:numFmt w:val="none"/>
      <w:pStyle w:val="TOC2"/>
      <w:suff w:val="nothing"/>
      <w:lvlText w:val=""/>
      <w:lvlJc w:val="left"/>
      <w:pPr>
        <w:ind w:left="720" w:firstLine="0"/>
      </w:pPr>
      <w:rPr>
        <w:rFonts w:ascii="Times New Roman" w:hAnsi="Times New Roman" w:hint="default"/>
        <w:b w:val="0"/>
        <w:i w:val="0"/>
        <w:sz w:val="24"/>
      </w:rPr>
    </w:lvl>
    <w:lvl w:ilvl="2">
      <w:start w:val="1"/>
      <w:numFmt w:val="decimal"/>
      <w:pStyle w:val="TOC3"/>
      <w:lvlText w:val="%3."/>
      <w:lvlJc w:val="left"/>
      <w:pPr>
        <w:tabs>
          <w:tab w:val="num" w:pos="2160"/>
        </w:tabs>
        <w:ind w:left="2160" w:hanging="720"/>
      </w:pPr>
      <w:rPr>
        <w:rFonts w:ascii="Times New Roman" w:hAnsi="Times New Roman" w:hint="default"/>
        <w:b w:val="0"/>
        <w:i w:val="0"/>
        <w:sz w:val="24"/>
      </w:rPr>
    </w:lvl>
    <w:lvl w:ilvl="3">
      <w:start w:val="1"/>
      <w:numFmt w:val="lowerLetter"/>
      <w:pStyle w:val="TOC4"/>
      <w:lvlText w:val="%4."/>
      <w:lvlJc w:val="left"/>
      <w:pPr>
        <w:tabs>
          <w:tab w:val="num" w:pos="2880"/>
        </w:tabs>
        <w:ind w:left="2880" w:hanging="720"/>
      </w:pPr>
      <w:rPr>
        <w:rFonts w:ascii="Times New Roman" w:hAnsi="Times New Roman" w:hint="default"/>
        <w:b w:val="0"/>
        <w:i w:val="0"/>
        <w:sz w:val="24"/>
      </w:rPr>
    </w:lvl>
    <w:lvl w:ilvl="4">
      <w:start w:val="1"/>
      <w:numFmt w:val="decimal"/>
      <w:pStyle w:val="TOC5"/>
      <w:lvlText w:val="%5)"/>
      <w:lvlJc w:val="left"/>
      <w:pPr>
        <w:tabs>
          <w:tab w:val="num" w:pos="3600"/>
        </w:tabs>
        <w:ind w:left="3600" w:hanging="720"/>
      </w:pPr>
      <w:rPr>
        <w:rFonts w:ascii="Times New Roman" w:hAnsi="Times New Roman" w:hint="default"/>
        <w:b w:val="0"/>
        <w:i w:val="0"/>
        <w:sz w:val="24"/>
      </w:rPr>
    </w:lvl>
    <w:lvl w:ilvl="5">
      <w:start w:val="1"/>
      <w:numFmt w:val="lowerLetter"/>
      <w:pStyle w:val="TOC6"/>
      <w:lvlText w:val="(%6)"/>
      <w:lvlJc w:val="left"/>
      <w:pPr>
        <w:tabs>
          <w:tab w:val="num" w:pos="4320"/>
        </w:tabs>
        <w:ind w:left="4320" w:hanging="720"/>
      </w:pPr>
      <w:rPr>
        <w:rFonts w:ascii="Times New Roman" w:hAnsi="Times New Roman" w:hint="default"/>
        <w:b w:val="0"/>
        <w:i w:val="0"/>
        <w:sz w:val="24"/>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3"/>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2"/>
  </w:num>
  <w:num w:numId="13">
    <w:abstractNumId w:val="2"/>
  </w:num>
  <w:num w:numId="14">
    <w:abstractNumId w:val="2"/>
  </w:num>
  <w:num w:numId="15">
    <w:abstractNumId w:val="2"/>
  </w:num>
  <w:num w:numId="16">
    <w:abstractNumId w:val="2"/>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4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413"/>
    <w:rsid w:val="00126BC2"/>
    <w:rsid w:val="00141A3A"/>
    <w:rsid w:val="00152935"/>
    <w:rsid w:val="00156A5C"/>
    <w:rsid w:val="001A0E02"/>
    <w:rsid w:val="001C5C45"/>
    <w:rsid w:val="001D2019"/>
    <w:rsid w:val="0021012D"/>
    <w:rsid w:val="00216808"/>
    <w:rsid w:val="00227CC6"/>
    <w:rsid w:val="00233CDB"/>
    <w:rsid w:val="00244DD5"/>
    <w:rsid w:val="0025624B"/>
    <w:rsid w:val="002C2913"/>
    <w:rsid w:val="002E2326"/>
    <w:rsid w:val="002E51C2"/>
    <w:rsid w:val="002F477A"/>
    <w:rsid w:val="00362413"/>
    <w:rsid w:val="003655BA"/>
    <w:rsid w:val="00394FCD"/>
    <w:rsid w:val="003A129C"/>
    <w:rsid w:val="003A2EAB"/>
    <w:rsid w:val="00414894"/>
    <w:rsid w:val="00421EEF"/>
    <w:rsid w:val="00476FE7"/>
    <w:rsid w:val="004A7E34"/>
    <w:rsid w:val="00556167"/>
    <w:rsid w:val="005809D4"/>
    <w:rsid w:val="00596DB7"/>
    <w:rsid w:val="005D6EAF"/>
    <w:rsid w:val="005D6EFD"/>
    <w:rsid w:val="005E4CEF"/>
    <w:rsid w:val="005E706F"/>
    <w:rsid w:val="005F13BF"/>
    <w:rsid w:val="00611451"/>
    <w:rsid w:val="00614F19"/>
    <w:rsid w:val="00651E3B"/>
    <w:rsid w:val="00664608"/>
    <w:rsid w:val="00684F5A"/>
    <w:rsid w:val="006B2C41"/>
    <w:rsid w:val="006D2F15"/>
    <w:rsid w:val="007014BE"/>
    <w:rsid w:val="00730382"/>
    <w:rsid w:val="00732050"/>
    <w:rsid w:val="007B52E3"/>
    <w:rsid w:val="007B5456"/>
    <w:rsid w:val="007F2C86"/>
    <w:rsid w:val="007F7A07"/>
    <w:rsid w:val="008227F4"/>
    <w:rsid w:val="00826272"/>
    <w:rsid w:val="0082788F"/>
    <w:rsid w:val="00875957"/>
    <w:rsid w:val="008B392F"/>
    <w:rsid w:val="008F7EE3"/>
    <w:rsid w:val="009114A8"/>
    <w:rsid w:val="0093762D"/>
    <w:rsid w:val="00963048"/>
    <w:rsid w:val="00972FCF"/>
    <w:rsid w:val="00975A13"/>
    <w:rsid w:val="00992C35"/>
    <w:rsid w:val="009B63FC"/>
    <w:rsid w:val="009C18F1"/>
    <w:rsid w:val="009E4E9F"/>
    <w:rsid w:val="00A23303"/>
    <w:rsid w:val="00A26B3D"/>
    <w:rsid w:val="00A3288A"/>
    <w:rsid w:val="00A332D3"/>
    <w:rsid w:val="00A81CE0"/>
    <w:rsid w:val="00A84727"/>
    <w:rsid w:val="00AE7548"/>
    <w:rsid w:val="00B77B22"/>
    <w:rsid w:val="00B90217"/>
    <w:rsid w:val="00BA0BC6"/>
    <w:rsid w:val="00BC7922"/>
    <w:rsid w:val="00BD2F8E"/>
    <w:rsid w:val="00C40939"/>
    <w:rsid w:val="00C649BA"/>
    <w:rsid w:val="00C83EB5"/>
    <w:rsid w:val="00D103D6"/>
    <w:rsid w:val="00D206CC"/>
    <w:rsid w:val="00D32BEB"/>
    <w:rsid w:val="00D6109E"/>
    <w:rsid w:val="00DE7D22"/>
    <w:rsid w:val="00E97AA2"/>
    <w:rsid w:val="00EA31BF"/>
    <w:rsid w:val="00EB04AB"/>
    <w:rsid w:val="00EE0287"/>
    <w:rsid w:val="00EF52C0"/>
    <w:rsid w:val="00F25C80"/>
    <w:rsid w:val="00F63C84"/>
    <w:rsid w:val="00F8514A"/>
    <w:rsid w:val="00FA6C4D"/>
    <w:rsid w:val="00FC2027"/>
    <w:rsid w:val="00FC78D5"/>
    <w:rsid w:val="00FF1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58570B04-488E-4FE3-B81A-8120489A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167"/>
    <w:pPr>
      <w:spacing w:line="240" w:lineRule="exact"/>
    </w:pPr>
    <w:rPr>
      <w:sz w:val="24"/>
    </w:rPr>
  </w:style>
  <w:style w:type="paragraph" w:styleId="Heading1">
    <w:name w:val="heading 1"/>
    <w:next w:val="BodyText"/>
    <w:qFormat/>
    <w:rsid w:val="00EF52C0"/>
    <w:pPr>
      <w:keepNext/>
      <w:numPr>
        <w:numId w:val="2"/>
      </w:numPr>
      <w:spacing w:before="120" w:after="120" w:line="240" w:lineRule="exact"/>
      <w:jc w:val="center"/>
      <w:outlineLvl w:val="0"/>
    </w:pPr>
    <w:rPr>
      <w:b/>
      <w:kern w:val="28"/>
      <w:sz w:val="24"/>
    </w:rPr>
  </w:style>
  <w:style w:type="paragraph" w:styleId="Heading2">
    <w:name w:val="heading 2"/>
    <w:next w:val="BodyText"/>
    <w:link w:val="Heading2Char"/>
    <w:qFormat/>
    <w:rsid w:val="00EF52C0"/>
    <w:pPr>
      <w:keepNext/>
      <w:numPr>
        <w:ilvl w:val="1"/>
        <w:numId w:val="3"/>
      </w:numPr>
      <w:tabs>
        <w:tab w:val="left" w:pos="9360"/>
      </w:tabs>
      <w:spacing w:before="120" w:after="120" w:line="240" w:lineRule="exact"/>
      <w:outlineLvl w:val="1"/>
    </w:pPr>
    <w:rPr>
      <w:b/>
      <w:caps/>
      <w:sz w:val="24"/>
    </w:rPr>
  </w:style>
  <w:style w:type="paragraph" w:styleId="Heading3">
    <w:name w:val="heading 3"/>
    <w:basedOn w:val="Heading2"/>
    <w:next w:val="BodyText"/>
    <w:qFormat/>
    <w:rsid w:val="00EF52C0"/>
    <w:pPr>
      <w:numPr>
        <w:ilvl w:val="2"/>
        <w:numId w:val="4"/>
      </w:numPr>
      <w:outlineLvl w:val="2"/>
    </w:pPr>
    <w:rPr>
      <w:caps w:val="0"/>
    </w:rPr>
  </w:style>
  <w:style w:type="paragraph" w:styleId="Heading4">
    <w:name w:val="heading 4"/>
    <w:basedOn w:val="Heading3"/>
    <w:next w:val="BodyText"/>
    <w:qFormat/>
    <w:rsid w:val="00EF52C0"/>
    <w:pPr>
      <w:numPr>
        <w:ilvl w:val="3"/>
        <w:numId w:val="5"/>
      </w:numPr>
      <w:outlineLvl w:val="3"/>
    </w:pPr>
  </w:style>
  <w:style w:type="paragraph" w:styleId="Heading5">
    <w:name w:val="heading 5"/>
    <w:basedOn w:val="Heading4"/>
    <w:next w:val="Normal"/>
    <w:qFormat/>
    <w:rsid w:val="00EF52C0"/>
    <w:pPr>
      <w:numPr>
        <w:ilvl w:val="4"/>
        <w:numId w:val="6"/>
      </w:numPr>
      <w:outlineLvl w:val="4"/>
    </w:pPr>
  </w:style>
  <w:style w:type="paragraph" w:styleId="Heading6">
    <w:name w:val="heading 6"/>
    <w:basedOn w:val="Heading5"/>
    <w:next w:val="Normal"/>
    <w:qFormat/>
    <w:rsid w:val="00EF52C0"/>
    <w:pPr>
      <w:numPr>
        <w:ilvl w:val="5"/>
        <w:numId w:val="7"/>
      </w:numPr>
      <w:outlineLvl w:val="5"/>
    </w:pPr>
  </w:style>
  <w:style w:type="paragraph" w:styleId="Heading7">
    <w:name w:val="heading 7"/>
    <w:basedOn w:val="Heading6"/>
    <w:next w:val="Normal"/>
    <w:qFormat/>
    <w:rsid w:val="00EF52C0"/>
    <w:pPr>
      <w:numPr>
        <w:ilvl w:val="6"/>
        <w:numId w:val="8"/>
      </w:numPr>
      <w:outlineLvl w:val="6"/>
    </w:pPr>
  </w:style>
  <w:style w:type="paragraph" w:styleId="Heading8">
    <w:name w:val="heading 8"/>
    <w:basedOn w:val="Heading7"/>
    <w:next w:val="Normal"/>
    <w:qFormat/>
    <w:rsid w:val="00EF52C0"/>
    <w:pPr>
      <w:numPr>
        <w:ilvl w:val="7"/>
        <w:numId w:val="9"/>
      </w:numPr>
      <w:outlineLvl w:val="7"/>
    </w:pPr>
  </w:style>
  <w:style w:type="paragraph" w:styleId="Heading9">
    <w:name w:val="heading 9"/>
    <w:basedOn w:val="Heading8"/>
    <w:next w:val="Normal"/>
    <w:qFormat/>
    <w:rsid w:val="00EF52C0"/>
    <w:pPr>
      <w:numPr>
        <w:ilvl w:val="8"/>
        <w:numId w:val="10"/>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F52C0"/>
    <w:pPr>
      <w:spacing w:before="120" w:after="120"/>
      <w:ind w:firstLine="720"/>
    </w:pPr>
  </w:style>
  <w:style w:type="paragraph" w:styleId="Footer">
    <w:name w:val="footer"/>
    <w:basedOn w:val="Normal"/>
    <w:link w:val="FooterChar"/>
    <w:uiPriority w:val="99"/>
    <w:rsid w:val="00EF52C0"/>
    <w:pPr>
      <w:tabs>
        <w:tab w:val="center" w:pos="4320"/>
        <w:tab w:val="right" w:pos="8640"/>
      </w:tabs>
    </w:pPr>
  </w:style>
  <w:style w:type="character" w:styleId="FootnoteReference">
    <w:name w:val="footnote reference"/>
    <w:semiHidden/>
    <w:rsid w:val="00EF52C0"/>
    <w:rPr>
      <w:rFonts w:ascii="Times New Roman" w:hAnsi="Times New Roman"/>
      <w:vertAlign w:val="superscript"/>
    </w:rPr>
  </w:style>
  <w:style w:type="paragraph" w:styleId="FootnoteText">
    <w:name w:val="footnote text"/>
    <w:basedOn w:val="Normal"/>
    <w:rsid w:val="00EF52C0"/>
    <w:pPr>
      <w:spacing w:after="120"/>
      <w:ind w:firstLine="720"/>
    </w:pPr>
  </w:style>
  <w:style w:type="paragraph" w:styleId="Header">
    <w:name w:val="header"/>
    <w:basedOn w:val="Normal"/>
    <w:link w:val="HeaderChar"/>
    <w:rsid w:val="00EF52C0"/>
    <w:pPr>
      <w:tabs>
        <w:tab w:val="center" w:pos="4320"/>
        <w:tab w:val="right" w:pos="8640"/>
      </w:tabs>
      <w:spacing w:line="240" w:lineRule="atLeast"/>
    </w:pPr>
  </w:style>
  <w:style w:type="character" w:styleId="PageNumber">
    <w:name w:val="page number"/>
    <w:rsid w:val="00EF52C0"/>
    <w:rPr>
      <w:rFonts w:ascii="Times New Roman" w:hAnsi="Times New Roman"/>
      <w:sz w:val="24"/>
    </w:rPr>
  </w:style>
  <w:style w:type="paragraph" w:styleId="Quote">
    <w:name w:val="Quote"/>
    <w:basedOn w:val="Normal"/>
    <w:qFormat/>
    <w:rsid w:val="00EF52C0"/>
    <w:pPr>
      <w:spacing w:before="120" w:after="120"/>
      <w:ind w:left="1080" w:right="720"/>
    </w:pPr>
  </w:style>
  <w:style w:type="paragraph" w:styleId="Index1">
    <w:name w:val="index 1"/>
    <w:basedOn w:val="Normal"/>
    <w:next w:val="Normal"/>
    <w:autoRedefine/>
    <w:uiPriority w:val="99"/>
    <w:semiHidden/>
    <w:unhideWhenUsed/>
    <w:rsid w:val="006B2C41"/>
    <w:pPr>
      <w:spacing w:line="240" w:lineRule="auto"/>
      <w:ind w:left="240" w:hanging="240"/>
    </w:pPr>
  </w:style>
  <w:style w:type="paragraph" w:customStyle="1" w:styleId="Level1">
    <w:name w:val="Level 1"/>
    <w:basedOn w:val="Normal"/>
    <w:next w:val="Level2"/>
    <w:rsid w:val="00EF52C0"/>
    <w:pPr>
      <w:numPr>
        <w:numId w:val="11"/>
      </w:numPr>
      <w:tabs>
        <w:tab w:val="left" w:pos="720"/>
        <w:tab w:val="left" w:pos="1440"/>
        <w:tab w:val="left" w:pos="2160"/>
        <w:tab w:val="left" w:pos="2880"/>
        <w:tab w:val="left" w:pos="3600"/>
      </w:tabs>
      <w:spacing w:before="120" w:after="120"/>
      <w:jc w:val="center"/>
    </w:pPr>
    <w:rPr>
      <w:b/>
      <w:caps/>
      <w:u w:val="single"/>
    </w:rPr>
  </w:style>
  <w:style w:type="paragraph" w:customStyle="1" w:styleId="Level2">
    <w:name w:val="Level 2"/>
    <w:basedOn w:val="Level1"/>
    <w:rsid w:val="00EF52C0"/>
    <w:pPr>
      <w:numPr>
        <w:ilvl w:val="1"/>
        <w:numId w:val="12"/>
      </w:numPr>
      <w:tabs>
        <w:tab w:val="clear" w:pos="720"/>
      </w:tabs>
    </w:pPr>
    <w:rPr>
      <w:caps w:val="0"/>
    </w:rPr>
  </w:style>
  <w:style w:type="paragraph" w:customStyle="1" w:styleId="Level3">
    <w:name w:val="Level 3"/>
    <w:basedOn w:val="Level2"/>
    <w:rsid w:val="00EF52C0"/>
    <w:pPr>
      <w:numPr>
        <w:ilvl w:val="2"/>
        <w:numId w:val="13"/>
      </w:numPr>
      <w:tabs>
        <w:tab w:val="clear" w:pos="2160"/>
      </w:tabs>
      <w:jc w:val="left"/>
    </w:pPr>
    <w:rPr>
      <w:b w:val="0"/>
      <w:u w:val="none"/>
    </w:rPr>
  </w:style>
  <w:style w:type="paragraph" w:customStyle="1" w:styleId="Level4">
    <w:name w:val="Level 4"/>
    <w:basedOn w:val="Level3"/>
    <w:rsid w:val="00EF52C0"/>
    <w:pPr>
      <w:numPr>
        <w:ilvl w:val="3"/>
        <w:numId w:val="14"/>
      </w:numPr>
      <w:tabs>
        <w:tab w:val="clear" w:pos="1440"/>
        <w:tab w:val="clear" w:pos="2880"/>
        <w:tab w:val="left" w:pos="2160"/>
      </w:tabs>
    </w:pPr>
  </w:style>
  <w:style w:type="paragraph" w:customStyle="1" w:styleId="Level5">
    <w:name w:val="Level 5"/>
    <w:basedOn w:val="Level4"/>
    <w:rsid w:val="00EF52C0"/>
    <w:pPr>
      <w:numPr>
        <w:ilvl w:val="4"/>
        <w:numId w:val="15"/>
      </w:numPr>
      <w:tabs>
        <w:tab w:val="left" w:pos="720"/>
        <w:tab w:val="left" w:pos="2880"/>
      </w:tabs>
    </w:pPr>
  </w:style>
  <w:style w:type="paragraph" w:customStyle="1" w:styleId="Level6">
    <w:name w:val="Level 6"/>
    <w:basedOn w:val="Level5"/>
    <w:rsid w:val="00EF52C0"/>
    <w:pPr>
      <w:numPr>
        <w:ilvl w:val="5"/>
        <w:numId w:val="16"/>
      </w:numPr>
    </w:pPr>
  </w:style>
  <w:style w:type="paragraph" w:styleId="TOC1">
    <w:name w:val="toc 1"/>
    <w:basedOn w:val="Normal"/>
    <w:next w:val="Normal"/>
    <w:rsid w:val="00EF52C0"/>
    <w:pPr>
      <w:numPr>
        <w:numId w:val="17"/>
      </w:numPr>
      <w:tabs>
        <w:tab w:val="left" w:leader="dot" w:pos="9360"/>
      </w:tabs>
      <w:spacing w:before="120" w:after="120"/>
    </w:pPr>
  </w:style>
  <w:style w:type="paragraph" w:customStyle="1" w:styleId="RecitalNumbering">
    <w:name w:val="Recital Numbering"/>
    <w:basedOn w:val="Normal"/>
    <w:rsid w:val="00EF52C0"/>
    <w:pPr>
      <w:numPr>
        <w:numId w:val="1"/>
      </w:numPr>
      <w:tabs>
        <w:tab w:val="clear" w:pos="1080"/>
      </w:tabs>
      <w:spacing w:before="120" w:after="120"/>
    </w:pPr>
  </w:style>
  <w:style w:type="paragraph" w:styleId="TOC2">
    <w:name w:val="toc 2"/>
    <w:basedOn w:val="TOC1"/>
    <w:next w:val="Normal"/>
    <w:rsid w:val="00EF52C0"/>
    <w:pPr>
      <w:numPr>
        <w:ilvl w:val="1"/>
      </w:numPr>
      <w:tabs>
        <w:tab w:val="left" w:pos="720"/>
      </w:tabs>
    </w:pPr>
  </w:style>
  <w:style w:type="paragraph" w:styleId="TOC3">
    <w:name w:val="toc 3"/>
    <w:basedOn w:val="TOC2"/>
    <w:next w:val="Normal"/>
    <w:rsid w:val="00EF52C0"/>
    <w:pPr>
      <w:numPr>
        <w:ilvl w:val="2"/>
      </w:numPr>
      <w:tabs>
        <w:tab w:val="left" w:pos="1440"/>
      </w:tabs>
    </w:pPr>
  </w:style>
  <w:style w:type="paragraph" w:styleId="TOC4">
    <w:name w:val="toc 4"/>
    <w:basedOn w:val="TOC3"/>
    <w:next w:val="Normal"/>
    <w:rsid w:val="00EF52C0"/>
    <w:pPr>
      <w:numPr>
        <w:ilvl w:val="3"/>
      </w:numPr>
      <w:tabs>
        <w:tab w:val="left" w:pos="2160"/>
      </w:tabs>
    </w:pPr>
  </w:style>
  <w:style w:type="paragraph" w:styleId="TOC5">
    <w:name w:val="toc 5"/>
    <w:basedOn w:val="TOC4"/>
    <w:next w:val="Normal"/>
    <w:rsid w:val="00EF52C0"/>
    <w:pPr>
      <w:numPr>
        <w:ilvl w:val="4"/>
      </w:numPr>
      <w:tabs>
        <w:tab w:val="left" w:pos="2880"/>
      </w:tabs>
    </w:pPr>
  </w:style>
  <w:style w:type="paragraph" w:styleId="TOC6">
    <w:name w:val="toc 6"/>
    <w:basedOn w:val="Normal"/>
    <w:next w:val="Normal"/>
    <w:autoRedefine/>
    <w:rsid w:val="00EF52C0"/>
    <w:pPr>
      <w:numPr>
        <w:ilvl w:val="5"/>
        <w:numId w:val="17"/>
      </w:numPr>
      <w:spacing w:line="240" w:lineRule="auto"/>
    </w:pPr>
  </w:style>
  <w:style w:type="paragraph" w:styleId="TOC7">
    <w:name w:val="toc 7"/>
    <w:basedOn w:val="Normal"/>
    <w:next w:val="Normal"/>
    <w:autoRedefine/>
    <w:semiHidden/>
    <w:rsid w:val="00EF52C0"/>
    <w:pPr>
      <w:spacing w:line="240" w:lineRule="auto"/>
    </w:pPr>
  </w:style>
  <w:style w:type="paragraph" w:styleId="TOC8">
    <w:name w:val="toc 8"/>
    <w:basedOn w:val="Normal"/>
    <w:next w:val="Normal"/>
    <w:autoRedefine/>
    <w:semiHidden/>
    <w:rsid w:val="00EF52C0"/>
    <w:pPr>
      <w:spacing w:line="240" w:lineRule="auto"/>
    </w:pPr>
  </w:style>
  <w:style w:type="paragraph" w:styleId="TOC9">
    <w:name w:val="toc 9"/>
    <w:basedOn w:val="Normal"/>
    <w:next w:val="Normal"/>
    <w:autoRedefine/>
    <w:semiHidden/>
    <w:rsid w:val="00EF52C0"/>
    <w:pPr>
      <w:spacing w:line="240" w:lineRule="auto"/>
    </w:pPr>
  </w:style>
  <w:style w:type="table" w:styleId="TableGrid">
    <w:name w:val="Table Grid"/>
    <w:basedOn w:val="TableNormal"/>
    <w:uiPriority w:val="59"/>
    <w:rsid w:val="005D6E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rsid w:val="0082788F"/>
    <w:rPr>
      <w:sz w:val="24"/>
    </w:rPr>
  </w:style>
  <w:style w:type="character" w:customStyle="1" w:styleId="FooterChar">
    <w:name w:val="Footer Char"/>
    <w:link w:val="Footer"/>
    <w:uiPriority w:val="99"/>
    <w:rsid w:val="0082788F"/>
    <w:rPr>
      <w:sz w:val="24"/>
    </w:rPr>
  </w:style>
  <w:style w:type="paragraph" w:customStyle="1" w:styleId="Text">
    <w:name w:val="Text"/>
    <w:basedOn w:val="Normal"/>
    <w:rsid w:val="0082788F"/>
    <w:pPr>
      <w:spacing w:before="240"/>
      <w:ind w:firstLine="720"/>
    </w:pPr>
    <w:rPr>
      <w:snapToGrid w:val="0"/>
    </w:rPr>
  </w:style>
  <w:style w:type="character" w:customStyle="1" w:styleId="CharChar2">
    <w:name w:val=" Char Char2"/>
    <w:rsid w:val="005F13BF"/>
    <w:rPr>
      <w:rFonts w:ascii="Times New Roman" w:hAnsi="Times New Roman" w:cs="Times New Roman"/>
      <w:sz w:val="24"/>
      <w:szCs w:val="20"/>
    </w:rPr>
  </w:style>
  <w:style w:type="character" w:customStyle="1" w:styleId="Heading2Char">
    <w:name w:val="Heading 2 Char"/>
    <w:link w:val="Heading2"/>
    <w:rsid w:val="001D2019"/>
    <w:rPr>
      <w:b/>
      <w:caps/>
      <w:sz w:val="24"/>
      <w:lang w:val="en-US" w:eastAsia="en-US" w:bidi="ar-SA"/>
    </w:rPr>
  </w:style>
  <w:style w:type="character" w:customStyle="1" w:styleId="BodyTextChar">
    <w:name w:val="Body Text Char"/>
    <w:link w:val="BodyText"/>
    <w:rsid w:val="001D2019"/>
    <w:rPr>
      <w:sz w:val="24"/>
      <w:lang w:val="en-US" w:eastAsia="en-US" w:bidi="ar-SA"/>
    </w:rPr>
  </w:style>
  <w:style w:type="character" w:styleId="Hyperlink">
    <w:name w:val="Hyperlink"/>
    <w:uiPriority w:val="99"/>
    <w:unhideWhenUsed/>
    <w:rsid w:val="007B52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fgov.org/olse/f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MS%20Word%202007\Workgroup\LeaseAgrmntContract2007\Manuals2k7%20w%20Lvl1&amp;2%20CntrdBold,%20then%201.,%20a.,%201),%20(a)%20plus%20Inde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A579A-4F9E-4F28-8758-EED8871AA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Manuals2k7 w Lvl1&amp;2 CntrdBold, then 1., a., 1), (a) plus Index</Template>
  <TotalTime>0</TotalTime>
  <Pages>22</Pages>
  <Words>10401</Words>
  <Characters>59292</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Uses No# Centered for Lvls 1&amp;2, then 1., a., 1), (a) numbering scheme for leases/agreements</vt:lpstr>
    </vt:vector>
  </TitlesOfParts>
  <Company>City Attorney's Office</Company>
  <LinksUpToDate>false</LinksUpToDate>
  <CharactersWithSpaces>69554</CharactersWithSpaces>
  <SharedDoc>false</SharedDoc>
  <HLinks>
    <vt:vector size="6" baseType="variant">
      <vt:variant>
        <vt:i4>1114181</vt:i4>
      </vt:variant>
      <vt:variant>
        <vt:i4>0</vt:i4>
      </vt:variant>
      <vt:variant>
        <vt:i4>0</vt:i4>
      </vt:variant>
      <vt:variant>
        <vt:i4>5</vt:i4>
      </vt:variant>
      <vt:variant>
        <vt:lpwstr>http://www.sfgov.org/olse/fco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Uses No# Centered for Lvls 1&amp;2, then 1., a., 1), (a) numbering scheme for leases/agreements</dc:title>
  <dc:subject/>
  <dc:creator>Amelia Wong</dc:creator>
  <cp:keywords/>
  <cp:lastModifiedBy>Jew, Jonathan</cp:lastModifiedBy>
  <cp:revision>2</cp:revision>
  <cp:lastPrinted>2009-05-21T18:43:00Z</cp:lastPrinted>
  <dcterms:created xsi:type="dcterms:W3CDTF">2019-06-17T23:29:00Z</dcterms:created>
  <dcterms:modified xsi:type="dcterms:W3CDTF">2019-06-17T23:29:00Z</dcterms:modified>
</cp:coreProperties>
</file>